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98" w:rsidRPr="00C21803" w:rsidRDefault="00A67D98" w:rsidP="00A67D98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D98" w:rsidRPr="00C21803" w:rsidRDefault="00A67D98" w:rsidP="00E7410E">
      <w:pPr>
        <w:widowControl w:val="0"/>
        <w:autoSpaceDE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 xml:space="preserve">МИНИСТЕРСТВО </w:t>
      </w:r>
      <w:r w:rsidR="00E7410E">
        <w:rPr>
          <w:rFonts w:ascii="Times New Roman" w:hAnsi="Times New Roman"/>
          <w:sz w:val="24"/>
          <w:szCs w:val="24"/>
        </w:rPr>
        <w:t xml:space="preserve">НАУКИ И ВЫСШЕГО </w:t>
      </w:r>
      <w:r w:rsidRPr="00C21803">
        <w:rPr>
          <w:rFonts w:ascii="Times New Roman" w:hAnsi="Times New Roman"/>
          <w:sz w:val="24"/>
          <w:szCs w:val="24"/>
        </w:rPr>
        <w:t>ОБРАЗОВАНИЯ РОССИЙСКОЙ ФЕДЕРАЦИИ</w:t>
      </w:r>
    </w:p>
    <w:p w:rsidR="00A67D98" w:rsidRPr="00C21803" w:rsidRDefault="00A67D98" w:rsidP="00A67D98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A67D98" w:rsidRPr="00C21803" w:rsidRDefault="00A67D98" w:rsidP="00A67D98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A67D98" w:rsidRPr="00C21803" w:rsidRDefault="00A67D98" w:rsidP="00A67D98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A67D98" w:rsidRPr="00C21803" w:rsidRDefault="00A67D98" w:rsidP="00A67D98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A67D98" w:rsidRPr="00C21803" w:rsidRDefault="00A67D98" w:rsidP="00A67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7D98" w:rsidRPr="00C21803" w:rsidRDefault="00A67D98" w:rsidP="00A67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7D98" w:rsidRDefault="00A67D98" w:rsidP="00A67D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D98" w:rsidRPr="00FC4869" w:rsidRDefault="00A67D98" w:rsidP="00A67D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Факультет </w:t>
      </w:r>
      <w:r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A67D98" w:rsidRPr="00FC4869" w:rsidRDefault="00A67D98" w:rsidP="00A67D98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r w:rsidRPr="00FC4869">
        <w:rPr>
          <w:rFonts w:ascii="Times New Roman" w:hAnsi="Times New Roman"/>
          <w:sz w:val="24"/>
          <w:szCs w:val="24"/>
          <w:u w:val="single"/>
        </w:rPr>
        <w:t>Гражданское право</w:t>
      </w:r>
    </w:p>
    <w:p w:rsidR="00A67D98" w:rsidRPr="00FC4869" w:rsidRDefault="00A67D98" w:rsidP="00A67D9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7D98" w:rsidRPr="00FC4869" w:rsidRDefault="00A67D98" w:rsidP="00A67D9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7D98" w:rsidRPr="00FC4869" w:rsidRDefault="00A67D98" w:rsidP="00A67D9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7D98" w:rsidRPr="00FC4869" w:rsidRDefault="00A67D98" w:rsidP="00A67D9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7D98" w:rsidRPr="00FC4869" w:rsidRDefault="00A67D98" w:rsidP="00A67D9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7D98" w:rsidRDefault="00A67D98" w:rsidP="00A67D9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410E" w:rsidRPr="00FC4869" w:rsidRDefault="00E7410E" w:rsidP="00A67D9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7D98" w:rsidRPr="00FC4869" w:rsidRDefault="00A67D98" w:rsidP="00A67D9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7D98" w:rsidRDefault="00A67D98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67D98" w:rsidRDefault="00FB46B7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ПРОЦЕДУРА ПРИМЕНЕНИЯ ИНОСТРАННОГО ПРАВА</w:t>
      </w:r>
      <w:r w:rsidR="005D7AA4">
        <w:rPr>
          <w:rFonts w:ascii="Times New Roman" w:hAnsi="Times New Roman"/>
          <w:b/>
          <w:color w:val="000000"/>
          <w:sz w:val="24"/>
          <w:szCs w:val="24"/>
        </w:rPr>
        <w:t xml:space="preserve">  В МЕЖДУНАРОДНОМ ЧАСТНОМ ПРАВЕ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67D98" w:rsidRDefault="00A67D98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67D98" w:rsidRPr="00A67D98" w:rsidRDefault="00A67D98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курс лекций</w:t>
      </w:r>
    </w:p>
    <w:p w:rsidR="00A67D98" w:rsidRPr="00FC4869" w:rsidRDefault="00A67D98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7D98" w:rsidRDefault="00A67D98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Pr="00FC4869" w:rsidRDefault="00E7410E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7D98" w:rsidRPr="00FC4869" w:rsidRDefault="00A67D98" w:rsidP="00A67D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firstLine="708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741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Автор-составитель:</w:t>
      </w:r>
    </w:p>
    <w:p w:rsidR="005D7AA4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firstLine="708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41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Доцент кафедры, </w:t>
      </w:r>
      <w:proofErr w:type="spellStart"/>
      <w:r w:rsidRPr="00E7410E">
        <w:rPr>
          <w:rFonts w:ascii="Times New Roman" w:eastAsia="Calibri" w:hAnsi="Times New Roman" w:cs="Times New Roman"/>
          <w:color w:val="000000"/>
          <w:sz w:val="24"/>
          <w:szCs w:val="24"/>
        </w:rPr>
        <w:t>к.ю.н</w:t>
      </w:r>
      <w:proofErr w:type="spellEnd"/>
      <w:r w:rsidRPr="00E7410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5D7A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доцент </w:t>
      </w:r>
    </w:p>
    <w:p w:rsidR="00E7410E" w:rsidRPr="00E7410E" w:rsidRDefault="005D7AA4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firstLine="708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Мирошниченко А.Ю.</w:t>
      </w:r>
      <w:r w:rsidR="00D043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10E">
        <w:rPr>
          <w:rFonts w:ascii="Times New Roman" w:eastAsia="Calibri" w:hAnsi="Times New Roman" w:cs="Times New Roman"/>
          <w:color w:val="000000"/>
          <w:sz w:val="24"/>
          <w:szCs w:val="24"/>
        </w:rPr>
        <w:t>Ростов-на-Дону</w:t>
      </w:r>
    </w:p>
    <w:p w:rsidR="00E7410E" w:rsidRPr="00E7410E" w:rsidRDefault="00E7410E" w:rsidP="00E7410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410E">
        <w:rPr>
          <w:rFonts w:ascii="Times New Roman" w:eastAsia="Calibri" w:hAnsi="Times New Roman" w:cs="Times New Roman"/>
          <w:color w:val="000000"/>
          <w:sz w:val="24"/>
          <w:szCs w:val="24"/>
        </w:rPr>
        <w:t>202</w:t>
      </w:r>
      <w:r w:rsidR="005D7AA4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</w:p>
    <w:p w:rsidR="00355DB8" w:rsidRDefault="00355DB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2818452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55DB8" w:rsidRDefault="00355DB8" w:rsidP="00355DB8">
          <w:pPr>
            <w:pStyle w:val="af0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355DB8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E7410E" w:rsidRPr="00E7410E" w:rsidRDefault="00E7410E" w:rsidP="00E7410E">
          <w:pPr>
            <w:rPr>
              <w:lang w:eastAsia="ru-RU"/>
            </w:rPr>
          </w:pPr>
        </w:p>
        <w:p w:rsidR="00355DB8" w:rsidRPr="00355DB8" w:rsidRDefault="00355DB8" w:rsidP="00355DB8">
          <w:pPr>
            <w:rPr>
              <w:lang w:eastAsia="ru-RU"/>
            </w:rPr>
          </w:pPr>
        </w:p>
        <w:p w:rsidR="00355DB8" w:rsidRPr="00355DB8" w:rsidRDefault="00355DB8" w:rsidP="00E7410E">
          <w:pPr>
            <w:pStyle w:val="12"/>
            <w:rPr>
              <w:noProof/>
            </w:rPr>
          </w:pPr>
          <w:r w:rsidRPr="00355DB8">
            <w:fldChar w:fldCharType="begin"/>
          </w:r>
          <w:r w:rsidRPr="00355DB8">
            <w:instrText xml:space="preserve"> TOC \o "1-3" \h \z \u </w:instrText>
          </w:r>
          <w:r w:rsidRPr="00355DB8">
            <w:fldChar w:fldCharType="separate"/>
          </w:r>
          <w:hyperlink w:anchor="_Toc493331456" w:history="1">
            <w:r>
              <w:rPr>
                <w:rStyle w:val="a5"/>
                <w:rFonts w:ascii="Times New Roman" w:hAnsi="Times New Roman" w:cs="Times New Roman"/>
                <w:noProof/>
              </w:rPr>
              <w:t>В</w:t>
            </w:r>
            <w:r w:rsidRPr="00355DB8">
              <w:rPr>
                <w:rStyle w:val="a5"/>
                <w:rFonts w:ascii="Times New Roman" w:hAnsi="Times New Roman" w:cs="Times New Roman"/>
                <w:noProof/>
              </w:rPr>
              <w:t>ведение</w:t>
            </w:r>
            <w:r w:rsidRPr="00355DB8">
              <w:rPr>
                <w:noProof/>
                <w:webHidden/>
              </w:rPr>
              <w:tab/>
            </w:r>
            <w:r w:rsidRPr="00355DB8">
              <w:rPr>
                <w:noProof/>
                <w:webHidden/>
              </w:rPr>
              <w:fldChar w:fldCharType="begin"/>
            </w:r>
            <w:r w:rsidRPr="00355DB8">
              <w:rPr>
                <w:noProof/>
                <w:webHidden/>
              </w:rPr>
              <w:instrText xml:space="preserve"> PAGEREF _Toc493331456 \h </w:instrText>
            </w:r>
            <w:r w:rsidRPr="00355DB8">
              <w:rPr>
                <w:noProof/>
                <w:webHidden/>
              </w:rPr>
            </w:r>
            <w:r w:rsidRPr="00355D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Pr="00355DB8">
              <w:rPr>
                <w:noProof/>
                <w:webHidden/>
              </w:rPr>
              <w:fldChar w:fldCharType="end"/>
            </w:r>
          </w:hyperlink>
        </w:p>
        <w:p w:rsidR="00355DB8" w:rsidRPr="00355DB8" w:rsidRDefault="003B1C70" w:rsidP="00E7410E">
          <w:pPr>
            <w:pStyle w:val="12"/>
            <w:rPr>
              <w:noProof/>
            </w:rPr>
          </w:pPr>
          <w:hyperlink w:anchor="_Toc493331457" w:history="1">
            <w:r w:rsidR="00355DB8" w:rsidRPr="00355DB8">
              <w:rPr>
                <w:rStyle w:val="a5"/>
                <w:rFonts w:ascii="Times New Roman" w:hAnsi="Times New Roman" w:cs="Times New Roman"/>
                <w:noProof/>
              </w:rPr>
              <w:t xml:space="preserve">Раздел 1. </w:t>
            </w:r>
            <w:r w:rsidR="00355DB8" w:rsidRPr="00355DB8">
              <w:rPr>
                <w:rStyle w:val="a5"/>
                <w:rFonts w:ascii="Times New Roman" w:hAnsi="Times New Roman" w:cs="Times New Roman"/>
                <w:bCs/>
                <w:noProof/>
              </w:rPr>
              <w:t>Общая часть международного частного права</w:t>
            </w:r>
            <w:r w:rsidR="00355DB8" w:rsidRPr="00355DB8">
              <w:rPr>
                <w:noProof/>
                <w:webHidden/>
              </w:rPr>
              <w:tab/>
            </w:r>
            <w:r w:rsidR="00355DB8" w:rsidRPr="00355DB8">
              <w:rPr>
                <w:noProof/>
                <w:webHidden/>
              </w:rPr>
              <w:fldChar w:fldCharType="begin"/>
            </w:r>
            <w:r w:rsidR="00355DB8" w:rsidRPr="00355DB8">
              <w:rPr>
                <w:noProof/>
                <w:webHidden/>
              </w:rPr>
              <w:instrText xml:space="preserve"> PAGEREF _Toc493331457 \h </w:instrText>
            </w:r>
            <w:r w:rsidR="00355DB8" w:rsidRPr="00355DB8">
              <w:rPr>
                <w:noProof/>
                <w:webHidden/>
              </w:rPr>
            </w:r>
            <w:r w:rsidR="00355DB8" w:rsidRPr="00355DB8">
              <w:rPr>
                <w:noProof/>
                <w:webHidden/>
              </w:rPr>
              <w:fldChar w:fldCharType="separate"/>
            </w:r>
            <w:r w:rsidR="00355DB8">
              <w:rPr>
                <w:noProof/>
                <w:webHidden/>
              </w:rPr>
              <w:t>4</w:t>
            </w:r>
            <w:r w:rsidR="00355DB8" w:rsidRPr="00355DB8">
              <w:rPr>
                <w:noProof/>
                <w:webHidden/>
              </w:rPr>
              <w:fldChar w:fldCharType="end"/>
            </w:r>
          </w:hyperlink>
        </w:p>
        <w:p w:rsidR="00355DB8" w:rsidRPr="00355DB8" w:rsidRDefault="003B1C70" w:rsidP="00E7410E">
          <w:pPr>
            <w:pStyle w:val="12"/>
            <w:rPr>
              <w:noProof/>
            </w:rPr>
          </w:pPr>
          <w:hyperlink w:anchor="_Toc493331458" w:history="1">
            <w:r w:rsidR="00355DB8" w:rsidRPr="00355DB8">
              <w:rPr>
                <w:rStyle w:val="a5"/>
                <w:rFonts w:ascii="Times New Roman" w:hAnsi="Times New Roman" w:cs="Times New Roman"/>
                <w:noProof/>
              </w:rPr>
              <w:t xml:space="preserve">Раздел 2. </w:t>
            </w:r>
            <w:r w:rsidR="00355DB8" w:rsidRPr="00355DB8">
              <w:rPr>
                <w:rStyle w:val="a5"/>
                <w:rFonts w:ascii="Times New Roman" w:hAnsi="Times New Roman" w:cs="Times New Roman"/>
                <w:bCs/>
                <w:noProof/>
              </w:rPr>
              <w:t>Особенная часть международного частного права</w:t>
            </w:r>
            <w:r w:rsidR="00355DB8" w:rsidRPr="00355DB8">
              <w:rPr>
                <w:noProof/>
                <w:webHidden/>
              </w:rPr>
              <w:tab/>
            </w:r>
            <w:r w:rsidR="00355DB8" w:rsidRPr="00355DB8">
              <w:rPr>
                <w:noProof/>
                <w:webHidden/>
              </w:rPr>
              <w:fldChar w:fldCharType="begin"/>
            </w:r>
            <w:r w:rsidR="00355DB8" w:rsidRPr="00355DB8">
              <w:rPr>
                <w:noProof/>
                <w:webHidden/>
              </w:rPr>
              <w:instrText xml:space="preserve"> PAGEREF _Toc493331458 \h </w:instrText>
            </w:r>
            <w:r w:rsidR="00355DB8" w:rsidRPr="00355DB8">
              <w:rPr>
                <w:noProof/>
                <w:webHidden/>
              </w:rPr>
            </w:r>
            <w:r w:rsidR="00355DB8" w:rsidRPr="00355DB8">
              <w:rPr>
                <w:noProof/>
                <w:webHidden/>
              </w:rPr>
              <w:fldChar w:fldCharType="separate"/>
            </w:r>
            <w:r w:rsidR="00355DB8">
              <w:rPr>
                <w:noProof/>
                <w:webHidden/>
              </w:rPr>
              <w:t>1</w:t>
            </w:r>
            <w:r w:rsidR="00E7410E">
              <w:rPr>
                <w:noProof/>
                <w:webHidden/>
              </w:rPr>
              <w:t>2</w:t>
            </w:r>
            <w:r w:rsidR="00355DB8" w:rsidRPr="00355DB8">
              <w:rPr>
                <w:noProof/>
                <w:webHidden/>
              </w:rPr>
              <w:fldChar w:fldCharType="end"/>
            </w:r>
          </w:hyperlink>
        </w:p>
        <w:p w:rsidR="00355DB8" w:rsidRPr="00355DB8" w:rsidRDefault="003B1C70" w:rsidP="00E7410E">
          <w:pPr>
            <w:pStyle w:val="12"/>
            <w:rPr>
              <w:noProof/>
            </w:rPr>
          </w:pPr>
          <w:hyperlink w:anchor="_Toc493331459" w:history="1">
            <w:r w:rsidR="00355DB8" w:rsidRPr="00355DB8">
              <w:rPr>
                <w:rStyle w:val="a5"/>
                <w:rFonts w:ascii="Times New Roman" w:hAnsi="Times New Roman" w:cs="Times New Roman"/>
                <w:noProof/>
              </w:rPr>
              <w:t xml:space="preserve">Раздел 3. </w:t>
            </w:r>
            <w:r w:rsidR="00355DB8" w:rsidRPr="00355DB8">
              <w:rPr>
                <w:rStyle w:val="a5"/>
                <w:rFonts w:ascii="Times New Roman" w:hAnsi="Times New Roman" w:cs="Times New Roman"/>
                <w:bCs/>
                <w:noProof/>
              </w:rPr>
              <w:t>Международный гражданский и арбитражный процесс</w:t>
            </w:r>
            <w:r w:rsidR="00355DB8" w:rsidRPr="00355DB8">
              <w:rPr>
                <w:noProof/>
                <w:webHidden/>
              </w:rPr>
              <w:tab/>
            </w:r>
          </w:hyperlink>
          <w:r w:rsidR="007F41E6">
            <w:rPr>
              <w:noProof/>
            </w:rPr>
            <w:t>72</w:t>
          </w:r>
        </w:p>
        <w:p w:rsidR="00355DB8" w:rsidRDefault="00355DB8">
          <w:r w:rsidRPr="00355DB8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:rsidR="00355DB8" w:rsidRDefault="00355D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A5184" w:rsidRPr="00A67D98" w:rsidRDefault="00A67D98" w:rsidP="00355DB8">
      <w:pPr>
        <w:pStyle w:val="a6"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_Toc493331456"/>
      <w:r w:rsidRPr="00A67D98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  <w:bookmarkEnd w:id="1"/>
    </w:p>
    <w:p w:rsidR="008E621B" w:rsidRPr="0013613D" w:rsidRDefault="008E621B" w:rsidP="008E62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6B7" w:rsidRDefault="004F61E5" w:rsidP="004F6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613D">
        <w:rPr>
          <w:rFonts w:ascii="Times New Roman" w:hAnsi="Times New Roman" w:cs="Times New Roman"/>
          <w:sz w:val="24"/>
          <w:szCs w:val="24"/>
        </w:rPr>
        <w:t xml:space="preserve">Современное </w:t>
      </w:r>
      <w:r w:rsidR="00E7410E">
        <w:rPr>
          <w:rFonts w:ascii="Times New Roman" w:hAnsi="Times New Roman" w:cs="Times New Roman"/>
          <w:sz w:val="24"/>
          <w:szCs w:val="24"/>
        </w:rPr>
        <w:t>м</w:t>
      </w:r>
      <w:r w:rsidRPr="0013613D">
        <w:rPr>
          <w:rFonts w:ascii="Times New Roman" w:hAnsi="Times New Roman" w:cs="Times New Roman"/>
          <w:sz w:val="24"/>
          <w:szCs w:val="24"/>
        </w:rPr>
        <w:t xml:space="preserve">еждународное частное право, оперирует весьма специфическими категориями и обладает уникальным правоприменительным инструментарием, требующими весьма серьезного анализа и изучения. Возникают новые специальные коллизионные правила, вызванные к жизни появлением новых или большей специализацией уже существовавших общественных отношений, например в сфере обращения ценных бумаг, культурных ценностей, экологической сфере и др. </w:t>
      </w:r>
    </w:p>
    <w:p w:rsidR="004F61E5" w:rsidRPr="0013613D" w:rsidRDefault="004F61E5" w:rsidP="004F6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613D">
        <w:rPr>
          <w:rFonts w:ascii="Times New Roman" w:hAnsi="Times New Roman" w:cs="Times New Roman"/>
          <w:sz w:val="24"/>
          <w:szCs w:val="24"/>
        </w:rPr>
        <w:t xml:space="preserve">Интегрирование России в международное экономическое и иное сотрудничество в свою очередь придает дополнительную важность и актуальность проблемам </w:t>
      </w:r>
      <w:r w:rsidR="00FB46B7">
        <w:rPr>
          <w:rFonts w:ascii="Times New Roman" w:hAnsi="Times New Roman" w:cs="Times New Roman"/>
          <w:sz w:val="24"/>
          <w:szCs w:val="24"/>
        </w:rPr>
        <w:t xml:space="preserve">применения иностранного права. </w:t>
      </w:r>
      <w:r w:rsidRPr="0013613D">
        <w:rPr>
          <w:rFonts w:ascii="Times New Roman" w:hAnsi="Times New Roman" w:cs="Times New Roman"/>
          <w:sz w:val="24"/>
          <w:szCs w:val="24"/>
        </w:rPr>
        <w:t xml:space="preserve">Увеличивающееся число международных договоров, в которых участвует Россия, является дополнительным свидетельством этого процесса. Все это требует подготовки специалистов по международному частному праву, умеющих грамотно оперировать современным инструментарием </w:t>
      </w:r>
      <w:r w:rsidR="00FB46B7">
        <w:rPr>
          <w:rFonts w:ascii="Times New Roman" w:hAnsi="Times New Roman" w:cs="Times New Roman"/>
          <w:sz w:val="24"/>
          <w:szCs w:val="24"/>
        </w:rPr>
        <w:t xml:space="preserve">при применении иностранного права. </w:t>
      </w:r>
    </w:p>
    <w:p w:rsidR="0013613D" w:rsidRPr="0013613D" w:rsidRDefault="00E7410E" w:rsidP="001361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13613D" w:rsidRPr="0013613D">
        <w:rPr>
          <w:rFonts w:ascii="Times New Roman" w:hAnsi="Times New Roman" w:cs="Times New Roman"/>
          <w:sz w:val="24"/>
          <w:szCs w:val="24"/>
        </w:rPr>
        <w:t>зучение курса «</w:t>
      </w:r>
      <w:r w:rsidR="00FB46B7">
        <w:rPr>
          <w:rFonts w:ascii="Times New Roman" w:hAnsi="Times New Roman" w:cs="Times New Roman"/>
          <w:sz w:val="24"/>
          <w:szCs w:val="24"/>
        </w:rPr>
        <w:t>Процедура применения иностранного права</w:t>
      </w:r>
      <w:r w:rsidR="0013613D" w:rsidRPr="0013613D">
        <w:rPr>
          <w:rFonts w:ascii="Times New Roman" w:hAnsi="Times New Roman" w:cs="Times New Roman"/>
          <w:sz w:val="24"/>
          <w:szCs w:val="24"/>
        </w:rPr>
        <w:t>» направлено на решение следующих задач:</w:t>
      </w:r>
    </w:p>
    <w:p w:rsidR="0013613D" w:rsidRPr="0013613D" w:rsidRDefault="0013613D" w:rsidP="001361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13D">
        <w:rPr>
          <w:rFonts w:ascii="Times New Roman" w:hAnsi="Times New Roman" w:cs="Times New Roman"/>
          <w:sz w:val="24"/>
          <w:szCs w:val="24"/>
        </w:rPr>
        <w:t>получение студентами информации о</w:t>
      </w:r>
      <w:r w:rsidR="00FB46B7">
        <w:rPr>
          <w:rFonts w:ascii="Times New Roman" w:hAnsi="Times New Roman" w:cs="Times New Roman"/>
          <w:sz w:val="24"/>
          <w:szCs w:val="24"/>
        </w:rPr>
        <w:t xml:space="preserve"> процедурах применения иностранного права, </w:t>
      </w:r>
      <w:r w:rsidRPr="0013613D">
        <w:rPr>
          <w:rFonts w:ascii="Times New Roman" w:hAnsi="Times New Roman" w:cs="Times New Roman"/>
          <w:sz w:val="24"/>
          <w:szCs w:val="24"/>
        </w:rPr>
        <w:t xml:space="preserve"> навыков анализа международных договоров, международно-правовых обычаев, национально-правовых актов и других форм права, существующих в отдельных государствах, которые содержат нормы международного частного права (например,  судебных прецедентов стран «общего права»); усвоение содержания международных актов, не имеющих обязательной юридической силы и, следовательно, обладающих рекомендательным характером;</w:t>
      </w:r>
    </w:p>
    <w:p w:rsidR="0013613D" w:rsidRPr="0013613D" w:rsidRDefault="0013613D" w:rsidP="001361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13D">
        <w:rPr>
          <w:rFonts w:ascii="Times New Roman" w:hAnsi="Times New Roman" w:cs="Times New Roman"/>
          <w:sz w:val="24"/>
          <w:szCs w:val="24"/>
        </w:rPr>
        <w:t xml:space="preserve">выработку твердых знаний, в том, что касается сущности </w:t>
      </w:r>
      <w:r w:rsidR="00FB46B7">
        <w:rPr>
          <w:rFonts w:ascii="Times New Roman" w:hAnsi="Times New Roman" w:cs="Times New Roman"/>
          <w:sz w:val="24"/>
          <w:szCs w:val="24"/>
        </w:rPr>
        <w:t>применения иностранного права</w:t>
      </w:r>
      <w:r w:rsidRPr="0013613D">
        <w:rPr>
          <w:rFonts w:ascii="Times New Roman" w:hAnsi="Times New Roman" w:cs="Times New Roman"/>
          <w:sz w:val="24"/>
          <w:szCs w:val="24"/>
        </w:rPr>
        <w:t xml:space="preserve">, его специфики по сравнению с другими отраслями внутригосударственного права, а также международного права, и особенно явления «конфликта законов» как его основной проблемы; </w:t>
      </w:r>
    </w:p>
    <w:p w:rsidR="0013613D" w:rsidRPr="0013613D" w:rsidRDefault="0013613D" w:rsidP="001361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13D">
        <w:rPr>
          <w:rFonts w:ascii="Times New Roman" w:hAnsi="Times New Roman" w:cs="Times New Roman"/>
          <w:sz w:val="24"/>
          <w:szCs w:val="24"/>
        </w:rPr>
        <w:t>понимание имеющихся различий между «конфликтами законов» различных государств  и «конфликтами юрисдикций»;</w:t>
      </w:r>
    </w:p>
    <w:p w:rsidR="0013613D" w:rsidRPr="0013613D" w:rsidRDefault="0013613D" w:rsidP="001361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613D">
        <w:rPr>
          <w:rFonts w:ascii="Times New Roman" w:hAnsi="Times New Roman" w:cs="Times New Roman"/>
          <w:sz w:val="24"/>
          <w:szCs w:val="24"/>
        </w:rPr>
        <w:t xml:space="preserve">уяснение места, которое занимает </w:t>
      </w:r>
      <w:r w:rsidR="00FB46B7">
        <w:rPr>
          <w:rFonts w:ascii="Times New Roman" w:hAnsi="Times New Roman" w:cs="Times New Roman"/>
          <w:sz w:val="24"/>
          <w:szCs w:val="24"/>
        </w:rPr>
        <w:t>процедуры применения иностранного права</w:t>
      </w:r>
      <w:r w:rsidRPr="0013613D">
        <w:rPr>
          <w:rFonts w:ascii="Times New Roman" w:hAnsi="Times New Roman" w:cs="Times New Roman"/>
          <w:sz w:val="24"/>
          <w:szCs w:val="24"/>
        </w:rPr>
        <w:t>, в современной (глобальной) нормативно-юридической системе, а также его соотношения с другими отраслями внутригосударственного права (гражданским, торговым, предпринимательским, семейным, трудовым, гражданским процессуальным правом), равно как и системой международного права (международным экономическим, международным финансовым, морским, воздушным и т.д. правом);</w:t>
      </w:r>
      <w:proofErr w:type="gramEnd"/>
    </w:p>
    <w:p w:rsidR="0013613D" w:rsidRPr="0013613D" w:rsidRDefault="0013613D" w:rsidP="001361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13D">
        <w:rPr>
          <w:rFonts w:ascii="Times New Roman" w:hAnsi="Times New Roman" w:cs="Times New Roman"/>
          <w:sz w:val="24"/>
          <w:szCs w:val="24"/>
        </w:rPr>
        <w:t xml:space="preserve">получение сведений о </w:t>
      </w:r>
      <w:r w:rsidR="00FB46B7">
        <w:rPr>
          <w:rFonts w:ascii="Times New Roman" w:hAnsi="Times New Roman" w:cs="Times New Roman"/>
          <w:sz w:val="24"/>
          <w:szCs w:val="24"/>
        </w:rPr>
        <w:t>применении иностранного права</w:t>
      </w:r>
      <w:r w:rsidR="00FB46B7" w:rsidRPr="0013613D">
        <w:rPr>
          <w:rFonts w:ascii="Times New Roman" w:hAnsi="Times New Roman" w:cs="Times New Roman"/>
          <w:sz w:val="24"/>
          <w:szCs w:val="24"/>
        </w:rPr>
        <w:t xml:space="preserve"> </w:t>
      </w:r>
      <w:r w:rsidRPr="0013613D">
        <w:rPr>
          <w:rFonts w:ascii="Times New Roman" w:hAnsi="Times New Roman" w:cs="Times New Roman"/>
          <w:sz w:val="24"/>
          <w:szCs w:val="24"/>
        </w:rPr>
        <w:t>и его структуре, международного гражданского процесса, международного коммерческого арбитража и правового регулирования трансграничных банкротств.</w:t>
      </w:r>
    </w:p>
    <w:p w:rsidR="00A67D98" w:rsidRPr="0013613D" w:rsidRDefault="00A67D98" w:rsidP="0013613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13613D">
        <w:tab/>
        <w:t xml:space="preserve">Исходя из поставленных задач, в курсе приведены лекции по вопросам </w:t>
      </w:r>
      <w:r w:rsidR="0013613D" w:rsidRPr="0013613D">
        <w:t>правового регулирования общественных отношений, осложненных иностранным элементом</w:t>
      </w:r>
      <w:r w:rsidRPr="0013613D">
        <w:t>.</w:t>
      </w:r>
    </w:p>
    <w:p w:rsidR="00A67D98" w:rsidRPr="00A67D98" w:rsidRDefault="00A67D98" w:rsidP="00A67D9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</w:p>
    <w:p w:rsidR="00433669" w:rsidRDefault="00433669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669" w:rsidRDefault="00433669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669" w:rsidRDefault="00433669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6B7" w:rsidRDefault="00FB46B7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6B7" w:rsidRDefault="00FB46B7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6B7" w:rsidRDefault="00FB46B7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6B7" w:rsidRDefault="00FB46B7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669" w:rsidRDefault="00433669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669" w:rsidRPr="00433669" w:rsidRDefault="00433669" w:rsidP="00433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669" w:rsidRPr="00433669" w:rsidRDefault="00433669" w:rsidP="0043366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3669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Понятие, предмет, метод и система международного частного права</w:t>
      </w:r>
    </w:p>
    <w:p w:rsidR="00433669" w:rsidRPr="00433669" w:rsidRDefault="00433669" w:rsidP="00433669">
      <w:pPr>
        <w:pStyle w:val="a6"/>
        <w:spacing w:after="0" w:line="240" w:lineRule="auto"/>
        <w:ind w:left="1406"/>
        <w:rPr>
          <w:rFonts w:ascii="Times New Roman" w:hAnsi="Times New Roman" w:cs="Times New Roman"/>
          <w:sz w:val="24"/>
          <w:szCs w:val="24"/>
        </w:rPr>
      </w:pP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отношения частноправового характера, возникающие в процессе взаимодействия субъектов, принадлежащих различным государствам, регулируются специальной отраслью права – международным частным правом.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специфическим признаком международного частного права выступает коллизия права (от лат. “</w:t>
      </w:r>
      <w:proofErr w:type="spellStart"/>
      <w:r w:rsidRPr="00136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collisio</w:t>
      </w:r>
      <w:proofErr w:type="spell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”- столкновение), то есть вопрос о том, какой из двух или нескольких правопорядков должен квалифицироваться в качестве решающего (компетентного) применительно к конкретному отношению. 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Предпосылками возникновения международного частного права являются:</w:t>
      </w:r>
    </w:p>
    <w:p w:rsidR="0013613D" w:rsidRPr="0013613D" w:rsidRDefault="0013613D" w:rsidP="0013613D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наличие множества государственных образований;</w:t>
      </w:r>
    </w:p>
    <w:p w:rsidR="0013613D" w:rsidRPr="0013613D" w:rsidRDefault="0013613D" w:rsidP="0013613D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существование различий в их правовых системах;</w:t>
      </w:r>
    </w:p>
    <w:p w:rsidR="0013613D" w:rsidRPr="0013613D" w:rsidRDefault="0013613D" w:rsidP="0013613D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возможность и обязательное взаимодействие  субъектов права двух или нескольких госуда</w:t>
      </w:r>
      <w:proofErr w:type="gram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 в р</w:t>
      </w:r>
      <w:proofErr w:type="gram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азличных областях и сферах деятельности.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совпадение на определенном  этапе всех указанных факторов образует основу для возникновения международного частного права.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зарождении международного частного права впервые стало возможным говорить в средние века (</w:t>
      </w:r>
      <w:r w:rsidRPr="00136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в.), поскольку именно в это время  происходит процесс развития и умножения всевозможных контактов между различными общностями.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Появление термина «международное частное право» связывают с именем основоположника американской доктрины международного частного права, члена Верховного Суда США Джозефа </w:t>
      </w:r>
      <w:proofErr w:type="spell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</w:t>
      </w:r>
      <w:proofErr w:type="spell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впервые привел его в 1834 г. в работе «Комментарии к конфликтному праву». В России название «международное частное право» появилось в научном обороте после выхода в свет работы Н.П. Иванова «Основания международной частной юрисдикции» (1865 г.) 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международного частного права являются частноправовые отношения, осложненные иностранным элементом, к числу которых относятся имущественные и личные неимущественные отношения, возникающие в процессе гражданского оборота, семейных, трудовых и иных отношений.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Иностранный элемент может проявляться  в субъекте (при заключении сделки между юридическими лицами разной национальной принадлежности; в </w:t>
      </w:r>
      <w:proofErr w:type="spell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деликтных</w:t>
      </w:r>
      <w:proofErr w:type="spell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отношениях, когда </w:t>
      </w:r>
      <w:proofErr w:type="spell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деликвент</w:t>
      </w:r>
      <w:proofErr w:type="spell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потерпевший – лица, имеющие разные гражданства; в наследственных, брачно-семейных и других правоотношениях) или объекте правоотношения (например, объект права собственности или наследуемое имущество находится на территории иностранного государства), а также в юридическом факте, с которым связано возникновение, изменение и прекращение правоотношения (объявление гражданина умершим, признание гражданина безвестно отсутствующим, установление факта родственных отношений и др.).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Возможна ситуация, при которой иностранный элемент одновременно присутствует и в субъекте, и в объекте, и в юридическом факте.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 о включении процессуальных отношений с участием иностранных лиц в предмет международного частного права на сегодняшний день остается дискуссионным, поскольку процессуальные нормы, являясь по своей природе публично-правовыми, относятся к компетенции каждого конкретного государства и регулируются исключительно нормами национального процессуального права. Ни в одной правовой системе не существует правил применения иностранных процессуальных норм. 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методам, регулирующим отношения частноправового характера, осложненные иностранным элементом, можно отнести  </w:t>
      </w:r>
      <w:proofErr w:type="spell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коллизионно</w:t>
      </w:r>
      <w:proofErr w:type="spell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-правовой и материально-правовой методы.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Коллизионно</w:t>
      </w:r>
      <w:proofErr w:type="spell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-правовой метод – это метод регулирования отношений посредством выбора правовой системы в том случае, когда на регулирование данного правоотношения претендуют правопорядки двух или более государств.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Коллизионно</w:t>
      </w:r>
      <w:proofErr w:type="spell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-правовой метод может быть реализован посредством специальных </w:t>
      </w:r>
      <w:proofErr w:type="spell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коллизионно</w:t>
      </w:r>
      <w:proofErr w:type="spellEnd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-правовых норм, имеющих отсылочный характер, содержащихся во  внутреннем законодательстве государства или международных договорах. </w:t>
      </w:r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Материально-правовой метод – это метод прямого регулирования отношений посредством установления прав и обязанностей его субъектов. </w:t>
      </w:r>
      <w:proofErr w:type="gramStart"/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Материально-правовой метод  реализуется с помощью унифицированных материальных норм международных договоров, а посредством использования материальных норм национального законодательства этот метод  может быть применен только в совокупности с коллизионным, который и позволяет выбрать соответствующее национальное законодательство.</w:t>
      </w:r>
      <w:proofErr w:type="gramEnd"/>
    </w:p>
    <w:p w:rsidR="0013613D" w:rsidRPr="0013613D" w:rsidRDefault="0013613D" w:rsidP="0013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международное частное право представляет собой систему правовых норм (коллизионных и материальных), регулирующих частноправовые отношения, осложненные иностранным элементом.  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>Нормативная структура международного частного права отличается повышенной сложностью. Эту отрасль права составляют совершенно различные по своему характеру, природе и структуре нормы. В состав норм международного частного права входят коллизионные и материально-правовые нормы. Центральными из них являются коллизионные (отсылочные) нормы.</w:t>
      </w:r>
    </w:p>
    <w:p w:rsidR="0013613D" w:rsidRPr="0013613D" w:rsidRDefault="0013613D" w:rsidP="0013613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613D">
        <w:rPr>
          <w:rFonts w:ascii="Times New Roman" w:hAnsi="Times New Roman" w:cs="Times New Roman"/>
          <w:i/>
          <w:sz w:val="24"/>
          <w:szCs w:val="24"/>
        </w:rPr>
        <w:t>Коллизионная норма</w:t>
      </w:r>
      <w:r w:rsidRPr="0013613D">
        <w:rPr>
          <w:rFonts w:ascii="Times New Roman" w:hAnsi="Times New Roman" w:cs="Times New Roman"/>
          <w:sz w:val="24"/>
          <w:szCs w:val="24"/>
        </w:rPr>
        <w:t xml:space="preserve"> представляет собой норму, определяющую, </w:t>
      </w:r>
      <w:proofErr w:type="gramStart"/>
      <w:r w:rsidRPr="0013613D"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 w:rsidRPr="0013613D">
        <w:rPr>
          <w:rFonts w:ascii="Times New Roman" w:hAnsi="Times New Roman" w:cs="Times New Roman"/>
          <w:sz w:val="24"/>
          <w:szCs w:val="24"/>
        </w:rPr>
        <w:t xml:space="preserve"> какого государства должно применяться для регулирования конкретного частноправового отношения, осложненного иностранным элементом. 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>Главная особенность этих норм заключается в том, что они не содержат прямого определения прав и обязанностей участников отношений, а указывают на применимое право для определения этих прав и обязанностей. Эти нормы нужны потому, что «материальное» право отдельных стран по-разному регулирует однородные общественные отношения.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>В зависимости от источника закрепления  коллизионные нормы бывают международными (договорными) и внутригосударственными.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>Внутригосударственные коллизионные нормы – это нормы, которые государства разрабатывают и принимают самостоятельно в пределах своей юрисдикции. Они содержатся во внутренних законодательных актах соответствующего государства.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 xml:space="preserve">Международные (договорные) коллизионные нормы – это унифицированные нормы, созданные на основе межгосударственных соглашений как результат согласованной воли договаривающихся государств.   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i/>
          <w:sz w:val="24"/>
          <w:szCs w:val="24"/>
        </w:rPr>
        <w:t>Материально-правовые нормы</w:t>
      </w:r>
      <w:r w:rsidRPr="0013613D">
        <w:rPr>
          <w:sz w:val="24"/>
          <w:szCs w:val="24"/>
        </w:rPr>
        <w:t xml:space="preserve"> – это нормы, непосредственно устанавливающие права и обязанности субъектов частноправового отношения, осложненного иностранным элементом.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 xml:space="preserve">К материально-правовым нормам можно отнести как унифицированные нормы международных договоров, так и материальные нормы внутреннего законодательства. Вопрос об отнесении последних к системе норм международного частного права остается на сегодняшний день дискуссионным. Так, некоторые ученые говорят о том, что материально-правовые нормы внутреннего законодательства не входят в систему международного частного права, поскольку не снимают коллизионной  проблемы. Приведенный  аргумент  не совсем понятен. Прежде всего, необходимо понять, для чего вообще нужно решить коллизионную проблему, т.е. вопрос о том, какое право должно регулировать данное правоотношение. Очевидно, что преодоление коллизии заключается в том, чтобы найти компетентный правопорядок, посредством которого выбираются материально-правовые нормы, разрешающие, в свою очередь,  вопрос по существу. 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lastRenderedPageBreak/>
        <w:t>Относя унифицированные материальные нормы к системе международного частного права, посредством которых происходит решение вопроса, нельзя не отнести к системе международного частного права и материальные нормы, составляющие внутреннее законодательство государства. Если исходить из того, что любое правоотношение в итоге должно быть решено по существу (а такой вывод правомерен, поскольку иначе было бы нелогично относить унифицированные материальные нормы к системе международного частного права), необходимо отнести к этой системе и внутренние материальные нормы. Это объясняется тем, что не весь спектр правоотношений может быть решен посредством унифицированных материальных норм на том основании, что количество таких норм невелико.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>Преодоление коллизий – это не конечная цель международного частного права, а его особенность. Поэтому было бы совсем неверно останавливаться на этой стадии, поскольку любая отрасль права и ее система направлена на регулирование каких-либо общественных отношений и, в конечном счете, на их разрешение, что и происходит посредством материальных норм.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 xml:space="preserve">Коллизионные и материально-правовые нормы, содержащиеся в международных договорах, являются результатом унификации права. Унификация права – это процесс создания государствами одинаковых, единообразных норм, закрепляемых в международных договорах и во внутригосударственном праве. 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 xml:space="preserve">Система международного частного права проявляется во взаимозависимости и взаимообусловленности его институтов, </w:t>
      </w:r>
      <w:proofErr w:type="spellStart"/>
      <w:r w:rsidRPr="0013613D">
        <w:rPr>
          <w:sz w:val="24"/>
          <w:szCs w:val="24"/>
        </w:rPr>
        <w:t>подинститутов</w:t>
      </w:r>
      <w:proofErr w:type="spellEnd"/>
      <w:r w:rsidRPr="0013613D">
        <w:rPr>
          <w:sz w:val="24"/>
          <w:szCs w:val="24"/>
        </w:rPr>
        <w:t xml:space="preserve">  и норм. Как отрасль права, она состоит из Общей и </w:t>
      </w:r>
      <w:proofErr w:type="gramStart"/>
      <w:r w:rsidRPr="0013613D">
        <w:rPr>
          <w:sz w:val="24"/>
          <w:szCs w:val="24"/>
        </w:rPr>
        <w:t>Особенной</w:t>
      </w:r>
      <w:proofErr w:type="gramEnd"/>
      <w:r w:rsidRPr="0013613D">
        <w:rPr>
          <w:sz w:val="24"/>
          <w:szCs w:val="24"/>
        </w:rPr>
        <w:t xml:space="preserve"> частей. 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>К Общей части традиционно относят вопросы, касающиеся предмета и метода правового регулирования, места международного частного права в системе права, нормативного состава отрасли, его источников, субъектов и учения о коллизионных нормах.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>Особенная часть, как правило, содержит следующие основные институты: право собственности и иные вещные права, внешнеэкономические сделки, международные перевозки грузов и пассажиров, международные кредитные и расчетные отношения, обязательства из причинения вреда, право интеллектуальной собственности, брачно-семейные, наследственные, трудовые отношения.</w:t>
      </w:r>
    </w:p>
    <w:p w:rsidR="0013613D" w:rsidRPr="0013613D" w:rsidRDefault="0013613D" w:rsidP="0013613D">
      <w:pPr>
        <w:pStyle w:val="ae"/>
        <w:rPr>
          <w:sz w:val="24"/>
          <w:szCs w:val="24"/>
        </w:rPr>
      </w:pPr>
      <w:r w:rsidRPr="0013613D">
        <w:rPr>
          <w:sz w:val="24"/>
          <w:szCs w:val="24"/>
        </w:rPr>
        <w:t>Система международного частного права как наука представляет собой другое понятие и включает комплекс вопросов, связанных с исследованием предмета международного частного права. Поэтому, помимо нормативного состава, включенного в саму отрасль, наука международного частного права изучает нормы международного гражданского процесса (например, изучаются процессуальные особенности судебного рассмотрения гражданско-правовых споров, имеющих международный характер).</w:t>
      </w:r>
    </w:p>
    <w:p w:rsidR="0013613D" w:rsidRDefault="0013613D" w:rsidP="0013613D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13613D" w:rsidRDefault="0013613D" w:rsidP="0013613D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433669" w:rsidRPr="00433669" w:rsidRDefault="00433669" w:rsidP="004336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433669">
        <w:rPr>
          <w:rFonts w:ascii="Times New Roman" w:hAnsi="Times New Roman" w:cs="Times New Roman"/>
          <w:b/>
          <w:sz w:val="24"/>
          <w:szCs w:val="24"/>
        </w:rPr>
        <w:t>2</w:t>
      </w:r>
      <w:r w:rsidR="00E7410E">
        <w:rPr>
          <w:rFonts w:ascii="Times New Roman" w:hAnsi="Times New Roman" w:cs="Times New Roman"/>
          <w:b/>
          <w:sz w:val="24"/>
          <w:szCs w:val="24"/>
        </w:rPr>
        <w:t>.</w:t>
      </w:r>
      <w:r w:rsidRPr="004336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3669">
        <w:rPr>
          <w:rFonts w:ascii="Times New Roman" w:hAnsi="Times New Roman" w:cs="Times New Roman"/>
          <w:b/>
          <w:bCs/>
          <w:sz w:val="24"/>
          <w:szCs w:val="24"/>
        </w:rPr>
        <w:t>Источники международного частного права </w:t>
      </w:r>
      <w:r w:rsidRPr="00433669">
        <w:rPr>
          <w:rFonts w:ascii="Times New Roman" w:hAnsi="Times New Roman" w:cs="Times New Roman"/>
          <w:sz w:val="24"/>
          <w:szCs w:val="24"/>
        </w:rPr>
        <w:tab/>
      </w:r>
    </w:p>
    <w:p w:rsidR="00433669" w:rsidRPr="00433669" w:rsidRDefault="00433669" w:rsidP="004336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3669" w:rsidRPr="00433669" w:rsidRDefault="00433669" w:rsidP="0043366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Международное частное право является элементом системы национального права, поэтому его источники – это те юридические формы, которые характерны для национального права вообще.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сегодняшний день вопросы, касающиеся как состава источников международного частного права, так и их иерархии остаются дискуссионными.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Рассматривая состав источников международного частного права, </w:t>
      </w:r>
      <w:proofErr w:type="gram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авторов не включает в</w:t>
      </w:r>
      <w:proofErr w:type="gramEnd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состав материальные нормы внутреннего законодательства, что, на наш взгляд, не в полном объеме отражает главное назначение любой отрасли права –  регулирование определенных правоотношений с последующим их разрешением. Поскольку в международном частном праве  регулирование частноправовых отношений, 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осложненных иностранным элементом, проходит две стадии (выбор компетентного правопорядка посредством коллизионных норм и решение вопроса по существу при помощи материальных норм внутреннего законодательства), последние должны быть отнесены к источникам данной отрасли права.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источников международного частного права входят: международный договор, национальное право (законы, подзаконные акты, судебный прецедент, судебная практика, научная доктрина), обычаи (международные и национальные).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тем, что общепризнанные принципы и нормы международного права, а также и международные договоры являются составной частью правовой системы большинства государств и имеют приоритет перед нормами национального законодательства, международные договоры можно поставить на первое место среди источников международного частного права.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Международный договор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соглашение между двумя или более государствами о возникновении, изменении или прекращении их взаимных прав и обязанностей.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Международные договоры по количеству участников принято классифицировать </w:t>
      </w:r>
      <w:proofErr w:type="gram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двусторонние и многосторонние.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Участниками двусторонних международных договоров могут быть два государства (например, Соглашение между Российской Федерацией и Республикой Литва о правовой помощи и правовых отношениях по гражданским, семейным и уголовным делам 1993 г.), а, следовательно, участниками многосторонних – три и более государств (например, Вашингтонская конвенция об урегулировании инвестиционных споров между государствами и лицами других государств 1965 г.). </w:t>
      </w:r>
      <w:proofErr w:type="gramEnd"/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сферы действия многосторонние международные договоры, в свою очередь, делятся </w:t>
      </w:r>
      <w:proofErr w:type="gram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универсальные и региональные.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Участниками универсальных международных договоров могут быть государства, принадлежащие к различным регионам земного шара (например, Венская конвенция ООН о договорах международной купли-продажи товаров 1980 г.), а региональных – государства, расположенные в одном регионе (например, для стран СНГ действует Конвенция о правовой помощи и правовых отношениях по гражданским, семейным и уголовным делам 2002 г).</w:t>
      </w:r>
      <w:proofErr w:type="gramEnd"/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 международные  договоры делятся на </w:t>
      </w:r>
      <w:proofErr w:type="spell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самоисполняемые</w:t>
      </w:r>
      <w:proofErr w:type="spellEnd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несамоисполняемые</w:t>
      </w:r>
      <w:proofErr w:type="spellEnd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Самоисполняемые</w:t>
      </w:r>
      <w:proofErr w:type="spellEnd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международные договоры – это договоры, нормы которых в силу их детальной проработанности могут применяться для регулирования соответствующих отношений без каких-либо конкретизирующих и дополняющих их норм. </w:t>
      </w:r>
      <w:proofErr w:type="spell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Несамоисполняемые</w:t>
      </w:r>
      <w:proofErr w:type="spellEnd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международные договоры – это договоры, для исполнения которых требуется акт внутригосударственного нормотворчества, конкретизирующий положения соответствующего договора.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Следующим по значимости источником международного частного права является </w:t>
      </w:r>
      <w:r w:rsidRPr="004336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национальное право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различающееся по своему составу в зависимости от принадлежности государства к той или иной правовой системе. В полный перечень национальных  источников  входят: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Законы. В российском праве отсутствует единый закон о международном частном праве, кодификация в этой сфере произведена по различным отраслям права. Например, коллизионные нормы содержатся в 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разделе третьей части ГК РФ, 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разделе СК РФ,  главе 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XXVI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КТМ РФ.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праве многих зарубежных государств нормы международного частного права объединены в отдельный закон (например, Австрия, Венгрия, Италия, Польша, Швейцария, Чехия и др.).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источниками международного частного права являются акты, содержащие материальные нормы права. К ним относятся как законы, специально предназначенные для регулирования правоотношений с иностранным элементом, так и  законы, регулирующие частноправовые отношения в целом.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первой группе источников относятся, например, Федеральный закон «О правовом положении иностранных граждан в Российской Федерации» 2002 г., Федеральный закон «Об иностранных инвестициях в Российской Федерации» 1999 г., Федеральный закон «О государственном регулировании внешнеторговой деятельности» 1995 г., Закон РФ «О международном коммерческом арбитраже» 1993 г. и т.д.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 второй – Гражданский кодекс Российской Федерации (часть первая, часть вторая, часть третья), Семейный кодекс Российской Федерации 1995 г., Трудовой кодекс Российской Федерации 2002 г. и др.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Подзаконные акты, как результат нормотворческой деятельности органов исполнительной власти, также могут содержать в себе нормы, регулирующие отношения с участием иностранного элемента (например, Инструкция ГНИ РФ от 11 октября 1995 г. № 39 «Об исчислении и уплате налога на добавленную стоимость» содержит ряд материально-правовых норм, которые применяются в том случае, если покупатель услуг имеет место нахождения в одном государстве, а продавец – в</w:t>
      </w:r>
      <w:proofErr w:type="gramEnd"/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другом.).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Судебный прецедент, являясь основным источником права в англо-американской системе права (Великобритания, США, Австралия, Канада и др.), представляет собой ранее вынесенное решение вышестоящего суда, которое признается обязательным для судов той же или низшей инстанции при разрешении ими аналогичных дел. На основе  обобщения судебных прецедентов в Великобритании и США были составлены сборники прецедентов в области международного частного права (например, в США – «Свод законов о конфликте законов» 1971 г.).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Судебная практика играет значительную роль при регулировании частноправовых отношений, осложненных иностранным элементом, и признается во многих странах в качестве источника права. Судебная  практика является результатом общения правоприменительной деятельности и направлена на единообразное применение законов.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Научная доктрина – это форма права, представляющая высказывания ученых, признанные на официальном государственном уровне. Например, научная доктрина является источником права в отдельных странах религиозной правовой системы в сфере брачно-семейных, наследственных и иных отношений.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Обычай </w:t>
      </w: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источник международного частного права признается большинством исследователей. Под обычаем понимается  сложившееся на практике правило поведения, за которым признается юридическая сила. Он может быть как национально-правовым (например, обычай, применяемый в торговом порту определенного государства при регулировании погрузочно-разгрузочных операций), так и международно-правовым (например, Международные правила толкования торговых терминов – ИНКОТЕРМС).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Российской Федерации в качестве источников выступают ратифицированные международные договоры, законы, подзаконные акты и обычаи.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3669" w:rsidRPr="00433669" w:rsidRDefault="00433669" w:rsidP="00433669">
      <w:pPr>
        <w:numPr>
          <w:ilvl w:val="0"/>
          <w:numId w:val="43"/>
        </w:numPr>
        <w:overflowPunct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3669">
        <w:rPr>
          <w:rFonts w:ascii="Times New Roman" w:hAnsi="Times New Roman" w:cs="Times New Roman"/>
          <w:b/>
          <w:bCs/>
          <w:sz w:val="24"/>
          <w:szCs w:val="24"/>
        </w:rPr>
        <w:t>Коллизионное право – центральная часть и подсистема международного частного права</w:t>
      </w:r>
    </w:p>
    <w:p w:rsidR="00433669" w:rsidRPr="00433669" w:rsidRDefault="00433669" w:rsidP="0043366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Нормативная структура международного частного права отличается повышенной сложностью. Эту отрасль права составляют совершенно различные по своему характеру, природе и структуре нормы. В состав норм международного частного права входят коллизионные и материально-правовые нормы. Центральными из них являются коллизионные (отсылочные) нормы.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Коллизионная норма</w:t>
      </w: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представляет собой норму, определяющую,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право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какого государства должно применяться для регулирования конкретного частноправового отношения, осложненного иностранным элементом.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Главная особенность этих норм заключается в том, что они не содержат прямого определения прав и обязанностей участников отношений, а указывают на применимое право для определения этих прав и обязанностей. Эти нормы нужны потому, что «материальное» право отдельных стран по-разному регулирует однородные общественные отношения.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зависимости от источника закрепления  коллизионные нормы бывают международными (договорными) и внутригосударственными.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Внутригосударственные коллизионные нормы – это нормы, которые государства разрабатывают и принимают самостоятельно в пределах своей юрисдикции. Они содержатся во внутренних законодательных актах соответствующего государства.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Международные (договорные) коллизионные нормы – это унифицированные нормы, созданные на основе межгосударственных соглашений как результат согласованной воли договаривающихся государств.  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Материально-правовые нормы</w:t>
      </w: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это нормы, непосредственно устанавливающие права и обязанности субъектов частноправового отношения, осложненного иностранным элементом.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 материально-правовым нормам можно отнести как унифицированные нормы международных договоров, так и материальные нормы внутреннего законодательства. Вопрос об отнесении последних к системе норм международного частного права остается на сегодняшний день дискуссионным. Так, некоторые ученые говорят о том, что материально-правовые нормы внутреннего законодательства не входят в систему международного частного права, поскольку не снимают коллизионной  проблемы. Приведенный  аргумент  не совсем понятен. Прежде всего, необходимо понять, для чего вообще нужно решить коллизионную проблему, т.е. вопрос о том, какое право должно регулировать данное правоотношение. Очевидно, что преодоление коллизии заключается в том, чтобы найти компетентный правопорядок, посредством которого выбираются материально-правовые нормы, разрешающие, в свою очередь,  вопрос по существу.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Относя унифицированные материальные нормы к системе международного частного права, посредством которых происходит решение вопроса, нельзя не отнести к системе международного частного права и материальные нормы, составляющие внутреннее законодательство государства. Если исходить из того, что любое правоотношение в итоге должно быть решено по существу (а такой вывод правомерен, поскольку иначе было бы нелогично относить унифицированные материальные нормы к системе международного частного права), необходимо отнести к этой системе и внутренние материальные нормы. Это объясняется тем, что не весь спектр правоотношений может быть решен посредством унифицированных материальных норм на том основании, что количество таких норм невелико.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Преодоление коллизий – это не конечная цель международного частного права, а его особенность. Поэтому было бы совсем неверно останавливаться на этой стадии, поскольку любая отрасль права и ее система направлена на регулирование каких-либо общественных отношений и, в конечном счете, на их разрешение, что и происходит посредством материальных норм.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Коллизионные и материально-правовые нормы, содержащиеся в международных договорах, являются результатом унификации права. Унификация права – это процесс создания государствами одинаковых, единообразных норм, закрепляемых в международных договорах и во внутригосударственном праве.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 выборе компетентного правопорядка в  сфере регулирования частноправовых отношений, осложненных иностранным элементом, основным инструментарием выступают коллизионные нормы.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Коллизионная норма</w:t>
      </w: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представляет собой норму, которая определяет,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право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какого государства должно применяться для регулирования конкретного частноправового отношения, осложненного иностранным элементом.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Главная особенность этих норм заключается в том, что они не содержат прямого определения прав и обязанностей участников отношений, а указывают на применимое право для определения этих прав и обязанностей. Эти нормы нужны потому, что «материальное» право отдельных стран по-разному регулирует однородные общественные отношения.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Структура коллизионной нормы включает в себя два элемента: объем и привязку. Объем – это часть коллизионной нормы, указывающая на вид частного правоотношения с иностранным элементом. Привязка – это часть коллизионной нормы, указывающая на право, подлежащее применению к данному правоотношению.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Существуют различные виды коллизионных норм. Классифицировать коллизионные нормы можно по различным основаниям: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 По форме коллизионной привязки различают односторонние и двусторонние коллизионные нормы. Односторонняя – это такая норма, привязка которой прямо называет право страны, подлежащее применению (российское, итальянское, немецкое и т.д.). Двусторонняя – это норма, привязка которой не указывает на право конкретного государства, подлежащее применению, а формулирует общий принцип, используя который можно его определить.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Привязку двусторонней коллизионной нормы называют формулой прикрепления. К наиболее часто используемым   формулам прикрепления относятся: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личный закон физического лица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personalis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), применяемый, как правило, для определения правового положения физических лиц, в сфере брачно-семейных и наследственных отношений. Личный закон подразделяется на закон гражданства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nationalis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patrie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), означающий применение права того государства, гражданином которого является участник частноправового отношения, и закон места жительства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domicilii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), означающий применение права того государства, на территории которого участник частноправового отношения проживает;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личный закон юридического лица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societatis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), широко используемый при решении коллизий законов, связанных с определением правового статуса юридического лица. Данная формула прикрепления предусматривает применение право того государства, которому принадлежит юридического лицо;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закон места нахождения вещи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rei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sitae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), используемый преимущественно при решении вопросов, связанных с правом собственности, и означающий применение  права того государства, на территории которого находится вещь, являющаяся объектом частноправовых отношений;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закон автономии воли сторон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voluntatis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 Применяется, в основном, в обязательственных правоотношениях и означает применение права того государства, которое выберут сами стороны – участники правоотношения;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закон места совершения акта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loci</w:t>
      </w: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actus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), включающий в себя несколько привязок: закон места заключения сделки, закон места исполнения договора, закон места совершения неправомерного акта, закон места заключения брака. Применяется в обязательственных,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деликтных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брачно-семейных  отношениях и т.д. Указывает на применение права того государства, на территории которого совершен частноправовой акт (например, заключен брак, выписана доверенность и т.д.);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закон суда 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fori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– формула прикрепления, решающая коллизию права в пользу права того государства, где рассматривается спор, то есть суд или иной правоприменительный орган должен руководствоваться правом своей страны, несмотря на наличие иностранного элемента в составе правоотношения. Закон суда находит свое применение в сфере любых видов частноправовых отношений и в этом качестве может подменить любую из существующих формул прикрепления;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закон флага (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flagi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lex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banderae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), применяемый, главным образом, для решения коллизионных вопросов в сфере торгового мореплавания и воздушных перевозок, и означающий право государства, флаг которого несет судна.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2. По форме выражения воли законодателя коллизионные нормы подразделяются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императивные, диспозитивные и альтернативные.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Императивная норма – это норма, привязка которой содержит категорические предписания, касающиеся выбора права и которые не могут быть изменены по усмотрению сторон частного правоотношения.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Диспозитивная норма – это норма, привязка которой, устанавливая общее правило о выборе права, оставляет сторонам возможность отказаться от него и заменить его другим правилом. Диспозитивные нормы действуют лишь постольку, поскольку стороны своим соглашением не установили иного правила.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Альтернативная норма – это норма, привязка которой содержит несколько правил  выбора права, закрепленные законодателем в самой норме.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В зависимости от очередности применения сформулированных в привязке альтернативной коллизионной нормы правил выбора применимого права различают генеральные и субсидиарные нормы.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Генеральная норма – это норма, в привязке которой сформулировано основное, главное правило выбора применимого права.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Субсидиарная норма – это норма, привязка которой формулирует правило, действующее в том случае, если не было применено правило, содержащееся в генеральной норме.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 В зависимости от источника закрепления  коллизионные нормы бывают международными (договорными) и внутригосударственными.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Внутригосударственные коллизионные нормы – это нормы, которые государства разрабатывают и принимают самостоятельно в пределах своей юрисдикции. Они содержатся во внутренних законодательных актах соответствующего государства.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Международные (договорные) коллизионные нормы – это унифицированные нормы, созданные на основе межгосударственных соглашений как результат согласованной воли договаривающихся государств.   </w:t>
      </w:r>
    </w:p>
    <w:p w:rsidR="0013613D" w:rsidRDefault="0013613D" w:rsidP="0013613D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124DA" w:rsidRPr="00B124DA" w:rsidRDefault="00B124DA" w:rsidP="00B124DA">
      <w:pPr>
        <w:pStyle w:val="1"/>
        <w:jc w:val="center"/>
        <w:rPr>
          <w:rFonts w:ascii="Times New Roman" w:eastAsia="Times New Roman" w:hAnsi="Times New Roman" w:cs="Times New Roman"/>
          <w:bCs w:val="0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433669" w:rsidRPr="00B124D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33669" w:rsidRPr="00B124DA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 xml:space="preserve"> </w:t>
      </w:r>
      <w:r w:rsidRPr="00B124DA">
        <w:rPr>
          <w:rFonts w:ascii="Times New Roman" w:eastAsia="Times New Roman" w:hAnsi="Times New Roman" w:cs="Times New Roman"/>
          <w:bCs w:val="0"/>
          <w:color w:val="auto"/>
          <w:kern w:val="36"/>
          <w:sz w:val="24"/>
          <w:szCs w:val="24"/>
          <w:lang w:eastAsia="ru-RU"/>
        </w:rPr>
        <w:t>Гармонизация права: понятие, признаки, соотношение с унификацией. Гармонизация права: понятие, признаки, соотношение с унификацией</w:t>
      </w:r>
    </w:p>
    <w:p w:rsidR="00433669" w:rsidRPr="00433669" w:rsidRDefault="00433669" w:rsidP="004336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669" w:rsidRPr="00433669" w:rsidRDefault="00433669" w:rsidP="004336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493331459"/>
      <w:r w:rsidRPr="00B124DA">
        <w:rPr>
          <w:rFonts w:ascii="Times New Roman" w:hAnsi="Times New Roman" w:cs="Times New Roman"/>
          <w:sz w:val="24"/>
          <w:szCs w:val="24"/>
        </w:rPr>
        <w:t>Гармонизация права: понятие, признаки, соотношение с унификацией. Гармонизация права: понятие, признаки, соотношение с унификацией.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 xml:space="preserve">Гармонизация права — процесс, направленный на сближение права разных государств, на устранение или уменьшение различий в нем. Понятно, что гармонизация и унификация — взаимосвязанные процессы. Унификация, предполагающая введение в национальное право разных государств одинаковых норм права, ведет к сближению национально-правовых систем, к стиранию различий между ними. Но гармонизация — более широкое понятие, так как сближение осуществляется и за пределами унификации. Поэтому следует различать гармонизацию права в широком смысле слова, 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 xml:space="preserve"> охватывает также унификацию и гармонизацию права в узком смысле слова, отличную от унификации.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>Главное отличие гармонизации права от унификации — отсутствие в этом процессе международно-правовых обязательств государств, закрепленных международным договором. Отсутствие договорной формы не является только формальным моментом, а определяет специфику всего процесса гармонизации: порядок создания и применения норм права, его конечный результат.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 xml:space="preserve">Гармонизация права осуществляется стихийно и целенаправленно. Суть стихийной гармонизации в том, что в процессе взаимодействия между государствами </w:t>
      </w:r>
      <w:r w:rsidRPr="00B124DA">
        <w:rPr>
          <w:rFonts w:ascii="Times New Roman" w:hAnsi="Times New Roman" w:cs="Times New Roman"/>
          <w:sz w:val="24"/>
          <w:szCs w:val="24"/>
        </w:rPr>
        <w:lastRenderedPageBreak/>
        <w:t>возникало похожее или единообразное регулирование. К стихийной гармонизации следует отнести и заимствование опыта других государств, в результате происходило сближение права, хотя такая цель и не ставилась.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>Одним из способов гармонизации права является рецепция — одностороннее заимствование одним государством у другого крупных массивов права.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>Гармонизация может быть односторонней или взаимной. При односторонней гармонизации право одного государства адаптируется к праву другого государства. При взаимной гармонизации участники предпринимают на согласованной основе меры к сближению права.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>Выделение взаимной гармонизации связано еще с одной ее классификацией: во-первых, гармонизация, осуществляемая исключительно с использованием национально-правовых средств, и во-вторых, осуществляемая с использованием международных средств, в том числе международно-правовых. Гармонизация на национально-правовой основе всегда односторонняя: государство в свое национальное право вводит отдельные нормы иностранного права, или целые комплексы норм, или целые законы.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 xml:space="preserve">Взаимная гармонизация — это относительно новый способ, получивший большое распространение к концу XX в., и осуществляется он преимущественно с помощью механизмов международных, включая 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межправительственные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>, организаций. Это характерная черта современного процесса гармонизации права. Она происходит в форме резолюций международных органов и организаций. Успехом пользуется такое средство, как создание модельных или типовых законов. Примером подобной гармонизации на универсальном уровне может быть подготовленный ЮНСИТРАЛ Типовой закон о международном коммерческом арбитраже. Он одобрен резолюцией Генеральной Ассамбл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еи ОО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>Н от 11 декабря 1985 г. и рекомендован государствам для принятия соответствующих законов. Ряд госуда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рств пр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>иняли национальные законы о международном коммерческом арбитраже: Австралия, Болгария, Венгрия, Канада, Украина и др. (см. об этом в гл. 20). К числу этих государств относится и Россия, принявшая соответствующий Закон в 1993 г.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>Различия гармонизации и унификации:</w:t>
      </w:r>
    </w:p>
    <w:p w:rsid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 xml:space="preserve">1. Унификация представляет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собои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установление единообразных норм 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 xml:space="preserve"> юридически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обязательнои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 xml:space="preserve"> государств форме, т. е. в форме договора. В них формулируются нормы, которые государства обязаны без всяких изменений применять во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внутреннеи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правовои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>̆ системе. Гармонизация — более простой и более «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мягкии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̆» процесс, он не опосредуется твердыми международно-правовыми обязательствами. Чаще всего это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одностороннии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процесс. Но даже взаимная гармонизация, роль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которои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>̆ будет возрастать, осуществляемая с использованием международно-правовых механизмов межправительственных организаций, не сопровождается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24DA">
        <w:rPr>
          <w:rFonts w:ascii="Times New Roman" w:hAnsi="Times New Roman" w:cs="Times New Roman"/>
          <w:sz w:val="24"/>
          <w:szCs w:val="24"/>
        </w:rPr>
        <w:t xml:space="preserve">юридическими обязательствами. 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 xml:space="preserve">2. Различие формы приводит к различным результатам. Только унификация ведет к созданию одинаковых норм во внутреннем праве разных государств, а гармонизация 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—л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>ишь к сближению права, к устранению противоречий: нормы разных государств могут быть похожими, даже словесно совпадающими, но разными.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 xml:space="preserve">3. Природа и место норм в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национальнои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системе, созданных в процессе унификации и гармонизации, также отличны. Унифицированные нормы в национальном праве выступают как специальные, поскольку вся их жизнь, от создания до прекращения, связана с международным договором. Отсюда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особыи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порядок их применения. Напротив, в процессе гармонизации происходит развитие национального права. В него включаются нормы (либо заимствованные у других государств, либо предусмотренные типовыми законами или другими международными актами), адаптированные к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национальнои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правовои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системе, принимаемые в форме национальных законодательных актов. Они ничем не отличаются от других норм национального права и 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применяются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 xml:space="preserve"> в общем по рядке. Они получают реальное содержание в контексте национального права. Это может </w:t>
      </w:r>
      <w:r w:rsidRPr="00B124DA">
        <w:rPr>
          <w:rFonts w:ascii="Times New Roman" w:hAnsi="Times New Roman" w:cs="Times New Roman"/>
          <w:sz w:val="24"/>
          <w:szCs w:val="24"/>
        </w:rPr>
        <w:lastRenderedPageBreak/>
        <w:t>привести к тому, что даже одинаковые по форме нормы будут иметь разное содержание в праве разных государств.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 xml:space="preserve">Отсюда и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различныи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механизм применения тех и других норм при регулировании трансграничных частноправовых отношений. Унифицированные материальные нормы снимают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коллизионныи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вопрос и применяются непосредственно. Гармонизированные нормы не снимают коллизионную проблему. Каково бы ни было реальное сближение права разных государств, как обширны бы ни были совпадения в праве (например, Кодекс Наполеона во Франции и в Бельгии), коллизии между ними возникают: при регулировании частноправовых отношении116 Часть первая. Общие положения с международными 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характеристиками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 xml:space="preserve"> прежде всего необходимо выбрать применимое право.</w:t>
      </w:r>
    </w:p>
    <w:p w:rsidR="00B124DA" w:rsidRP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 xml:space="preserve">4. Иногда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международныи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договор становится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основои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гармонизации. Речь идет о государствах, не участвующих в договорах. Нет никаких </w:t>
      </w:r>
      <w:proofErr w:type="gramStart"/>
      <w:r w:rsidRPr="00B124DA">
        <w:rPr>
          <w:rFonts w:ascii="Times New Roman" w:hAnsi="Times New Roman" w:cs="Times New Roman"/>
          <w:sz w:val="24"/>
          <w:szCs w:val="24"/>
        </w:rPr>
        <w:t>препятствии</w:t>
      </w:r>
      <w:proofErr w:type="gramEnd"/>
      <w:r w:rsidRPr="00B124DA">
        <w:rPr>
          <w:rFonts w:ascii="Times New Roman" w:hAnsi="Times New Roman" w:cs="Times New Roman"/>
          <w:sz w:val="24"/>
          <w:szCs w:val="24"/>
        </w:rPr>
        <w:t xml:space="preserve">̆ для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неучаствующих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 государств включить нормы договора в свое национальное право. Но в этом случае договор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действует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 в качестве не юридически обязательного акта, а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типовои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>̆ модели.</w:t>
      </w:r>
    </w:p>
    <w:p w:rsidR="00B124DA" w:rsidRDefault="00B124DA" w:rsidP="00B124D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4DA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24DA">
        <w:rPr>
          <w:rFonts w:ascii="Times New Roman" w:hAnsi="Times New Roman" w:cs="Times New Roman"/>
          <w:sz w:val="24"/>
          <w:szCs w:val="24"/>
        </w:rPr>
        <w:t xml:space="preserve">Нет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никакои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необходимости давать сравнительную оценку значимости обоих процессов для развития права современного общества. С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однои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стороны, казалось бы, что унификация наиболее способствует сближению права, так как только она создает одинаковые нормы в праве разных государств. Но практика свидетельствует, что государства неохотно связывают себя жесткими юридическими обязательствами. Многие принятые конвенции десятилетиями не вступают в силу или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действуют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 в незначительном круге государств. Напротив, гармонизация как более простой процесс, не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связывающии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 xml:space="preserve">̆ государства жесткими юридическими обязательствами, оказывается более </w:t>
      </w:r>
      <w:proofErr w:type="spellStart"/>
      <w:r w:rsidRPr="00B124DA">
        <w:rPr>
          <w:rFonts w:ascii="Times New Roman" w:hAnsi="Times New Roman" w:cs="Times New Roman"/>
          <w:sz w:val="24"/>
          <w:szCs w:val="24"/>
        </w:rPr>
        <w:t>предпочтительнои</w:t>
      </w:r>
      <w:proofErr w:type="spellEnd"/>
      <w:r w:rsidRPr="00B124DA">
        <w:rPr>
          <w:rFonts w:ascii="Times New Roman" w:hAnsi="Times New Roman" w:cs="Times New Roman"/>
          <w:sz w:val="24"/>
          <w:szCs w:val="24"/>
        </w:rPr>
        <w:t>̆ и реально способствует сближению права.</w:t>
      </w:r>
    </w:p>
    <w:p w:rsidR="00B124DA" w:rsidRDefault="00B124DA" w:rsidP="00355DB8">
      <w:pPr>
        <w:shd w:val="clear" w:color="auto" w:fill="FFFFFF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124DA" w:rsidRDefault="00B124DA" w:rsidP="00355DB8">
      <w:pPr>
        <w:shd w:val="clear" w:color="auto" w:fill="FFFFFF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124DA" w:rsidRDefault="00B124DA" w:rsidP="00B124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B124DA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5. Основания и порядок применения иностранного права. Основания и порядок применения иностранного права</w:t>
      </w:r>
    </w:p>
    <w:p w:rsidR="00B124DA" w:rsidRPr="00B124DA" w:rsidRDefault="00B124DA" w:rsidP="00B124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Национальное право действует в пределах территории своего государства, однако интересы международного общения требуют признания и применения в определенных пределах иностранного права – </w:t>
      </w:r>
      <w:proofErr w:type="spellStart"/>
      <w:r w:rsidRPr="00B124DA">
        <w:rPr>
          <w:b/>
          <w:bCs/>
          <w:color w:val="000000"/>
        </w:rPr>
        <w:t>экстратерриториальное</w:t>
      </w:r>
      <w:proofErr w:type="spellEnd"/>
      <w:r w:rsidRPr="00B124DA">
        <w:rPr>
          <w:b/>
          <w:bCs/>
          <w:color w:val="000000"/>
        </w:rPr>
        <w:t xml:space="preserve"> действие права.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 w:rsidRPr="00B124DA">
        <w:rPr>
          <w:color w:val="000000"/>
          <w:u w:val="single"/>
        </w:rPr>
        <w:t>Экстратерриториальное</w:t>
      </w:r>
      <w:proofErr w:type="spellEnd"/>
      <w:r w:rsidRPr="00B124DA">
        <w:rPr>
          <w:color w:val="000000"/>
          <w:u w:val="single"/>
        </w:rPr>
        <w:t xml:space="preserve"> действие права в целом</w:t>
      </w:r>
      <w:r w:rsidRPr="00B124DA">
        <w:rPr>
          <w:color w:val="000000"/>
        </w:rPr>
        <w:t> – это преимущественно пассивное признание иностранного права (точнее субъективных прав, возникших под действием иностранного права), то применение иностранного права – это активная деятельность правоприменительных органов по разрешению каких-либо вопросов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b/>
          <w:bCs/>
          <w:color w:val="000000"/>
          <w:u w:val="single"/>
        </w:rPr>
        <w:t xml:space="preserve">Признание </w:t>
      </w:r>
      <w:proofErr w:type="spellStart"/>
      <w:r w:rsidRPr="00B124DA">
        <w:rPr>
          <w:b/>
          <w:bCs/>
          <w:color w:val="000000"/>
          <w:u w:val="single"/>
        </w:rPr>
        <w:t>иностр</w:t>
      </w:r>
      <w:proofErr w:type="gramStart"/>
      <w:r w:rsidRPr="00B124DA">
        <w:rPr>
          <w:b/>
          <w:bCs/>
          <w:color w:val="000000"/>
          <w:u w:val="single"/>
        </w:rPr>
        <w:t>.п</w:t>
      </w:r>
      <w:proofErr w:type="gramEnd"/>
      <w:r w:rsidRPr="00B124DA">
        <w:rPr>
          <w:b/>
          <w:bCs/>
          <w:color w:val="000000"/>
          <w:u w:val="single"/>
        </w:rPr>
        <w:t>рава</w:t>
      </w:r>
      <w:proofErr w:type="spellEnd"/>
      <w:r w:rsidRPr="00B124DA">
        <w:rPr>
          <w:color w:val="000000"/>
          <w:u w:val="single"/>
        </w:rPr>
        <w:t> </w:t>
      </w:r>
      <w:r w:rsidRPr="00B124DA">
        <w:rPr>
          <w:color w:val="000000"/>
        </w:rPr>
        <w:t xml:space="preserve">– пассивное признание субъективных прав, возникших под действием </w:t>
      </w:r>
      <w:proofErr w:type="spellStart"/>
      <w:r w:rsidRPr="00B124DA">
        <w:rPr>
          <w:color w:val="000000"/>
        </w:rPr>
        <w:t>иностр.права</w:t>
      </w:r>
      <w:proofErr w:type="spellEnd"/>
      <w:r w:rsidRPr="00B124DA">
        <w:rPr>
          <w:color w:val="000000"/>
        </w:rPr>
        <w:t> </w:t>
      </w:r>
      <w:r w:rsidRPr="00B124DA">
        <w:rPr>
          <w:i/>
          <w:iCs/>
          <w:color w:val="000000"/>
        </w:rPr>
        <w:t>(например, при перемещении человека из одного государства в другое за ним сохраняется право на автомобиль, состояние в браке – личные имущественные и неимущественные права)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b/>
          <w:bCs/>
          <w:color w:val="000000"/>
        </w:rPr>
        <w:t>Применение – активный правоприменительный процесс, возможно:</w:t>
      </w:r>
    </w:p>
    <w:p w:rsidR="00B124DA" w:rsidRPr="00B124DA" w:rsidRDefault="00B124DA" w:rsidP="00B124DA">
      <w:pPr>
        <w:pStyle w:val="a4"/>
        <w:numPr>
          <w:ilvl w:val="0"/>
          <w:numId w:val="47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B124DA">
        <w:rPr>
          <w:color w:val="000000"/>
          <w:u w:val="single"/>
        </w:rPr>
        <w:t>при прямом предписании</w:t>
      </w:r>
      <w:r w:rsidRPr="00B124DA">
        <w:rPr>
          <w:color w:val="000000"/>
        </w:rPr>
        <w:t> коллизионных норм в установленных национальным правом рамках; коллизионная норма – это юридическое основание применение иностранного права на территории данного государства.</w:t>
      </w:r>
    </w:p>
    <w:p w:rsidR="00B124DA" w:rsidRPr="00B124DA" w:rsidRDefault="00B124DA" w:rsidP="00B124DA">
      <w:pPr>
        <w:pStyle w:val="a4"/>
        <w:numPr>
          <w:ilvl w:val="0"/>
          <w:numId w:val="47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B124DA">
        <w:rPr>
          <w:color w:val="000000"/>
          <w:u w:val="single"/>
        </w:rPr>
        <w:t>в соответствии с общепризнанными принципами международного прав</w:t>
      </w:r>
      <w:proofErr w:type="gramStart"/>
      <w:r w:rsidRPr="00B124DA">
        <w:rPr>
          <w:color w:val="000000"/>
          <w:u w:val="single"/>
        </w:rPr>
        <w:t>а</w:t>
      </w:r>
      <w:r w:rsidRPr="00B124DA">
        <w:rPr>
          <w:color w:val="000000"/>
        </w:rPr>
        <w:t>(</w:t>
      </w:r>
      <w:proofErr w:type="gramEnd"/>
      <w:r w:rsidRPr="00B124DA">
        <w:rPr>
          <w:color w:val="000000"/>
        </w:rPr>
        <w:t>суверенное равенство государств, т.е. право каждого государства свободно определять свою политико-правовую систему, самоопределение, невмешательство во внутренние дела). Задача государств – уважать иностранное право и обеспечивать, чтобы предписания иностранные права были реализованы с максимальной тщательностью.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Прежде чем применить норму иностранного права, предписанную российской коллизионной нормой, необходимо установить ее содержание. </w:t>
      </w:r>
      <w:r w:rsidRPr="00B124DA">
        <w:rPr>
          <w:color w:val="000000"/>
          <w:u w:val="single"/>
        </w:rPr>
        <w:t>Задача суда</w:t>
      </w:r>
      <w:r w:rsidRPr="00B124DA">
        <w:rPr>
          <w:color w:val="000000"/>
        </w:rPr>
        <w:t xml:space="preserve"> – применить </w:t>
      </w:r>
      <w:r w:rsidRPr="00B124DA">
        <w:rPr>
          <w:color w:val="000000"/>
        </w:rPr>
        <w:lastRenderedPageBreak/>
        <w:t>иностранное право так, как оно применяется у себя на родине, а не с позиций российского права – задача трудная, практики мало.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left="360"/>
        <w:jc w:val="both"/>
        <w:rPr>
          <w:color w:val="000000"/>
        </w:rPr>
      </w:pPr>
      <w:r w:rsidRPr="00B124DA">
        <w:rPr>
          <w:b/>
          <w:bCs/>
          <w:color w:val="000000"/>
        </w:rPr>
        <w:t>Основания и порядок применения иностранного права.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 xml:space="preserve">Гражданский кодекс РФ закрепляет положения, обязывающие применять иностранное право в определенных случаях. </w:t>
      </w:r>
      <w:proofErr w:type="gramStart"/>
      <w:r w:rsidRPr="00B124DA">
        <w:rPr>
          <w:color w:val="000000"/>
        </w:rPr>
        <w:t>К</w:t>
      </w:r>
      <w:proofErr w:type="gramEnd"/>
      <w:r w:rsidRPr="00B124DA">
        <w:rPr>
          <w:color w:val="000000"/>
        </w:rPr>
        <w:t xml:space="preserve"> </w:t>
      </w:r>
      <w:proofErr w:type="gramStart"/>
      <w:r w:rsidRPr="00B124DA">
        <w:rPr>
          <w:color w:val="000000"/>
        </w:rPr>
        <w:t>такого</w:t>
      </w:r>
      <w:proofErr w:type="gramEnd"/>
      <w:r w:rsidRPr="00B124DA">
        <w:rPr>
          <w:color w:val="000000"/>
        </w:rPr>
        <w:t xml:space="preserve"> рода случаям относятся: при наличии прямых предписаний о применении иностранного права в национальном праве; национальное право предусматривает общие принципы, на которых строится применение иностранного права; применение иностранного права осуществляется в соответствии с общепризнанными принципами международного права. Помимо этого законодательно закреплено несколько важных положений в отношении правил установления содержания иностранного права. В этих целях суду предоставляется несколько способов получения информации о содержании иностранного права: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1. Суд по собственной инициативе может обратиться с запросом в Министерство юстиции РФ или иные компетентные органы;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2. Допросить в качестве свидетелей специалистов в области иностранного права;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3. Установить содержание иностранного права посредством доказательств, представленных самими сторонами.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В случае если все описанные меры по установлению содержания иностранного права окажутся безрезультатными, то суд вправе применять коллизионный принцип - закон суда.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Кроме оснований применения иностранного права международное частное право определяет и ряд ограничений применения иностранного права, которые законодательно закреплены правовыми системами разных государств.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Одной из старейших норм международного частного права, известных в МЧП РФ, является положение, ограничивающее применение иностранного права по признаку нарушения интересов экономической, политической, социальной, этнографической и других систем, в совокупности образующих публичный порядок государства. Это положение носит название "оговорки о публичном порядке" и имеет законодательное закрепление в нормативных актах РФ, содержащих коллизионные нормы.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Оговорка о публичном порядке - это установленное законодательством РФ ограничение в применении иностранного права, когда его применение несовместимо с основами российского правопорядка (публичного порядка).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Практика применения оговорки о публичном порядке не имеет широкого применения в деятельности российских судов, как, впрочем, и сама практика применения коллизионных норм или вопросов, возникающих при их применении.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Оговорка о публичном порядке - институт МЧП, присущий практически всем правовым системам. Вместе с тем, содержащие данной категории различно для стран континентальной Европы и для Англии и США. Существуют две концепции оговорки о публичном порядке: "негативная" и "позитивная".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Негативная оговорка означает невозможность применения иностранного права, если такое применение наносит урон или представляет существенную опасность интересам данного государства.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Позитивная оговорка означает невозможность применения иностранного права в связи с наличием в определенной правовой системе императивных материальных норм, не допускающих "вмешательства" иностранного права в регламентацию правоотношений, уже регулируемых данными материальными нормами.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Другим ограничением применения иностранного права является положение об "обходе закона". "Обход закона", так же, как и оговорка о публичном порядке, является основанием для неприменения иностранного права в случае, когда коллизионная норма делает обязательным его применения.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lastRenderedPageBreak/>
        <w:t>"Обход закона" - это волеизъявление сторон, выраженное в подчинении правоотношения иностранному праву с целью избежать применения внутренней материальной правовой нормы.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Однако, несмотря в целом на отрицательное отношение к "обходу закона", в законодательстве некоторых стран существуют специальные нормы, закрепляющие эту категорию МЧП. "Обратная отсылка" - это ситуация, при которой коллизионная норма одной правовой системы в качестве применимой указывает на другую правовую систему, а коллизионная норма последней - на исходную правовую систему.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Существует два варианта отношения к обратной отсылке: признавать обратную отсылку, то есть применять национальное право, которое первоначально указало на компетенцию иностранного правопорядка, и не признавать, то есть применять иностранное материальное право без учета коллизионных норм.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Обратная отсылка обусловлена наличием в каждой правовой системе коллизионных норм, одинаковых по объему (т.е. регулирующих одни и те же правоотношения), но различных по коллизионным привязкам.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Сегодня проблема обратной отсылки решается либо посредством включения специальных статей в законы государства, либо путем закрепления международных договоров, содержащих положения об обратной отсылке.</w:t>
      </w:r>
    </w:p>
    <w:p w:rsidR="00B124DA" w:rsidRPr="00B124DA" w:rsidRDefault="00B124DA" w:rsidP="00B124DA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24DA">
        <w:rPr>
          <w:color w:val="000000"/>
        </w:rPr>
        <w:t>Отсылка к праву третьей страны - это ситуация, при которой коллизионная норма одной правовой системе в качестве применимой указывает на другую правовую систему, а коллизионная норма последней - на правовую систему третьего государства.</w:t>
      </w:r>
    </w:p>
    <w:p w:rsidR="00B124DA" w:rsidRDefault="00B124DA" w:rsidP="00355DB8">
      <w:pPr>
        <w:shd w:val="clear" w:color="auto" w:fill="FFFFFF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124DA" w:rsidRDefault="00B124DA" w:rsidP="00355DB8">
      <w:pPr>
        <w:shd w:val="clear" w:color="auto" w:fill="FFFFFF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bookmarkEnd w:id="2"/>
    <w:p w:rsidR="00433669" w:rsidRPr="00433669" w:rsidRDefault="00B124DA" w:rsidP="0043366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33669" w:rsidRPr="0043366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33669" w:rsidRPr="004336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3669" w:rsidRPr="00433669">
        <w:rPr>
          <w:rFonts w:ascii="Times New Roman" w:hAnsi="Times New Roman" w:cs="Times New Roman"/>
          <w:b/>
          <w:bCs/>
          <w:snapToGrid w:val="0"/>
          <w:sz w:val="24"/>
          <w:szCs w:val="24"/>
        </w:rPr>
        <w:t>Международный гражданский процесс. Международный коммерческий арбитраж</w:t>
      </w:r>
    </w:p>
    <w:p w:rsidR="00433669" w:rsidRPr="00433669" w:rsidRDefault="00433669" w:rsidP="00433669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гражданский проце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вкл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ючает в себя комплекс вопросов, связанных с порядком и особенностями рассмотрения в судах гражданско-правовых споров, осложненных иностранным элементом.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Термин «международный гражданский процесс» носит условный характер, поскольку речь идет о национальном праве, а не о международном праве, предметом которого является регулирование публичных правоотношений между государствами. Также не существует специального международного судебного органа, призванного рассматривать споры между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разнонациональными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субъектами.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круг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вопросов, охватываемых международным гражданским процессом входят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процессуальных прав и обязанностей иностранных граждан, лиц без гражданства, иностранных юридических лиц;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определения международной подсудности;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способы исполнения судебных поручений;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 исполнение иностранных судебных решений.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международного гражданского процесса содержатся в многочисленных универсальных и региональных конвенциях, а также в двусторонних договорах о правовой помощи, консульских конвенциях и иных соглашениях.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универсальным многосторонним конвенциям относятся Гаагская конвенция по вопросам гражданского процесса 1954 г., Конвенция, отменяющая требования легализации иностранных официальных документов 1961 г., Гаагская конвенция о вручении за границей судебных и внесудебных документов по гражданским и торговым делам 1965 г., Брюссельская конвенция по вопросам юрисдикции и принудительного исполнения судебных решений в отношений гражданских и коммерческих споров 1968 г., Гаагская конвенция о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границей доказательств по гражданским и уголовным делам 1970 г.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региональным конвенциям можно отнести Европейскую конвенцию об информации относительно иностранного законодательства 1968 г., Конвенцию о правовой 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помощи и правовых отношениях по гражданским, семейным и уголовным делам 1993 г. (Минская конвенция), Конвенцию о правовой помощи и правовых отношениях по гражданским, семейным и уголовным делам 2002 г. (Кишиневская конвенция) и другие соглашения. </w:t>
      </w:r>
      <w:proofErr w:type="gramEnd"/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источниками в Российской Федерации, содержащими нормы международного гражданского процесса, являются Гражданский процессуальный кодекс Российской Федерации (вступил в силу 1 февраля 2003 г.) и Арбитражный процессуальный кодекс (вступил в силу 1 сентября 2002 г.). Наряду с этим, положения, относящиеся к данной сфере, содержатся в Законе «О третейских судах в Российской Федерации» от 24 июля 2002 г., в Федеральном законе «Об исполнительном производстве» от 21 июля 1997 г. и других нормативных актах.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Международная подсудность устанавливает, подпадает ли под компетенцию национальных судов конкретного государства во всей их совокупности разрешение правового спора, осложненного иностранным элементом. В отличие от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территориальная подсудность относится всегда к конкретному суду, в который обратился истец. Каждое государство само определяет, какие споры относятся к компетенции его судов.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правовых системах предусматриваются три основных способа определения международной подсудности: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 признаку гражданства сторон: суд того государства компетентен рассматривать спор, гражданином которого является одна из сторон (Франция, Италия и др.);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 закону места жительства ответчика (Германия, Швейцария, Япония и др.);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 признаку «фактического присутствия» ответчика (Англия, США и др.). Этот способ определения международной подсудности, распространенный в странах общего права, при предъявлении персональных исков (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personam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) требует фактического присутствия ответчика на территории соответствующего государства для личного вручения ему судебной повестки, которая является началом процесса в собственном смысле слова. В целях предъявления вещно-правового иска (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rem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) фактическое присутствие толкуется как нахождение имущества (собственности) ответчика.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перечисленных способов, в законодательстве многих государств закрепляется возможность установления договорной подсудности. Договорная подсудность представляет собой определение компетенции судов иностранного государства, которая устанавливается соглашением сторон. Соглашение, в котором стороны выбирают суд определенного государства для рассмотрения возникшего спора либо спора, который может возникнуть в будущем, называется пророгационным соглашением. Наряду с пророгационными соглашениями (где указывается выбор в пользу судов определенного государства) стороны могут заключить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дерогационные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соглашения, в которых указывается на исключение судов определенного государства рассматривать спор.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России все суды общей юрисдикции наделены полномочиями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споры, осложненные иностранным элементом. Правила установления международной подсудности установлены в Главе 44 ГПК РФ и в Главе 32 АПК РФ. Основное правило для ее установления – это территориальная подсудность по месту жительства в Российской Федерации гражданина-ответчика или по месту нахождения на территории Российской Федерации организации-ответчика (п.2 ст. 402 ГПК РФ). Гражданский процессуальный кодекс Российской Федерации также устанавливает и иные случаи определения международной подсудности (п. 3 ст. 403 ГПК РФ).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перечню дел с участием иностранных лиц, подсудных исключительно российским судам относятся: дела о праве на недвижимость, находящуюся на территории Российской Федерации; дела по спорам из договора перевозки, если перевозчики находятся на территории Российской Федерации; дела о расторжении браков российских 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граждан с иностранцами, если оба супруга имеют место жительства в Российской Федерации;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споры по делам, возникающим из публичных правоотношений; отдельные категории дел особого производства (ст. 403 ГПК РФ).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международной подсудности российским арбитражным судам закреплено в ст. 247 АПК РФ и устанавливает общее правило о том, что ответчик должен находиться или иметь место жительства либо имущество на территории Российской Федерации.  Арбитражный процессуальный кодекс также устанавливает исключительную подсудность (ст. 248 АПК РФ) и договорную подсудность (ст. 249 АПК РФ).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Процессуальное положение иностранных лиц в Российской Федерации закреплено в Конституции Российской Федерации (ст. 46, ст. 62), в Гражданском процессуальном кодексе Российской Федерации (ст. 398),  В Арбитражном процессуальном кодексе Российской Федерации (ст. 254), в Федеральном законе «О правовом положении иностранных граждан в Российской Федерации» 2002 г. (ст. 4), которые устанавливают принцип национального режима. </w:t>
      </w:r>
      <w:proofErr w:type="gramEnd"/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Изъятие из принципа национального режима могут быть установлены только в порядке реторсий, вводимых Правительством РФ по отношению к лицам тех государств, в судах которых ограничиваются процессуальные права российских лиц.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Гражданская процессуальная правоспособность и дееспособность иностранных граждан и лиц без гражданства определяется их личным законом (п. 1 ст. 399 ГПК РФ). Физическое лицо, не обладающее процессуальной дееспособностью по своему личному закону, в Российской Федерации может быть признано процессуально дееспособным, если это соответствует российскому законодательству (п. 3 ст. 399 ГПК РФ).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Арбитражном законодательстве закреплено требование о том, что иностранные участники процесса должны представить в арбитражный суд доказательства, подтверждающие их юридический статус и право на осуществления предпринимательской и иной экономической деятельности (ст. 254 АПК РФ).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Процессуальное положение государства как участника гражданского процесса основано на его иммунитете.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в суде Российской Федерации иска к иностранному государству, привлечение иностранного государства к участию в деле в качестве ответчика или третьего лица, наложение ареста на имущество, принадлежащее иностранному государству  и находящееся на территории Российской Федерации, и принятия по отношению к этому имуществу иных мер по обеспечению иска, обращение взыскания на это имущество в порядке исполнения решения суда допускаются только с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компетентных органов соответствующего государства, если иное не предусмотрено международным договором Российской Федерации или Федеральным законом (п. 1 ст. 401 ГПК РФ).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Признание и исполнение иностранных судебных решений практически во всех странах осуществляется в соответствии с  принципом взаимности, закрепленным в двусторонних международных договорах.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различные варианты принудительного исполнения иностранных судебных решений. В некоторых странах (например, Италия) для исполнения требуется проверка правильности решений иностранного суда с точки зрения формы, установления его соответствия публичному порядку места исполнения. В большинстве стран Европы и Латинской Америки необходима выдача экзекватуры, т.е. судебного постановления, которое санкционирует исполнение судебного решения, придает ему принудительную силу. Возможна проверка решения по существу, если оно вынесено против своего гражданина. В станах англо-американской системы иностранное судебное решение служит основой для нового судебного разбирательства.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Российской Федерации решения иностранных судов признаются и исполняются, если это предусмотрено международным договором. Решение иностранного суда может быть предъявлено к принудительному исполнению в течение трех лет со дня 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вступления в законную силу решения иностранного суда (п. 3 ст. 409 ГПК РФ). Отказ в принудительном исполнении решения иностранного суда допускается в случае, если: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решение по праву страны, на территории которой оно принято, не вступило в законную силу, или не подлежит исполнению;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сторона, против которой принято решение была лишена возможности принять участие в процессе вследствие того, что ей не было своевременно и надлежащим образом вручено извещение о времени и месте рассмотрения дела;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рассмотрение дела относится к исключительной подсудности судов в Российской Федерации;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имеется вступившее в законную силу решение суда в Российской Федерации, принятое по спору между теми же сторонами, о том же предмете и по тем же основаниям, или в производстве суда в Российской Федерации имеется дело, возбужденное по спору между теми же сторонами, о том же предмете и по тем же основаниям до возбуждения дела в иностранном суде;</w:t>
      </w:r>
      <w:proofErr w:type="gramEnd"/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5) исполнение решения может нанести ущерб суверенитету Российской Федерации или угрожает безопасности Российской Федерации либо противоречит публичному порядку Российской Федерации;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истек срок предъявления решения к принудительному исполнению и это срок не восстановлен судом в Российской Федерации по ходатайству взыскателя (п. 1 ст. 412 ГПК РФ).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Процессуальная деятельность судебных органов ограничена пределами государственной территорией. Однако очень часто возникает необходимость осуществления подобной деятельности за рубежом (так, например, вызов свидетелей по делу, сбор вещественных доказательств, а также запрос документов, находящихся за границей). Все эти процессуальные действия могут быть совершены в порядке судебных поручений.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Судебное поручение представляет собой обращение суда одного государства к суду другого государства с просьбой о производстве каких-либо процессуальных действий на территории этого государства.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таких поручений основано на положениях международных договоров и национального законодательства.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судебного разрешения дел, в международном частном праве возникают различные ситуации, требующие определенных действий, подтверждающих действительность официальных документов.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российских судах признаются документы, выданные, составленные или удостоверенные компетентными органами иностранных государств (ст. 408 ГПК РФ, ст. 255 АПК РФ)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легализации, если иное не установлено международным договором Российской Федерации или федеральным законом.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легализацией понимают последовательный ряд удостоверений подписей должностных лиц и качество, в котором они выступают, а также удостоверение подлинности печатей и штампов, которыми скреплены документы.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Упрощенным порядком легализации является консульская легализация, которая представляет собой специальную надпись консула на документе и удостоверяет подлинность подписи должностного лица иностранного государства, а также соответствие документов законам государства пребывания. Положения о консульской легализации закреплены в Консульском уставе РФ.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Гаагская конвенция об отмене требования легализации иностранных официальных документов 1961 г. устанавливает правила о проставлении органами, выдавшими документ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апостиля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(единственной удостоверительной надписи на документе, одинаковой по форме для всех государств-участников) вместо последовательных операций по оформлению легализации.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Международный коммерческий арбитраж – это инструмент негосударственного рассмотрения гражданско-правовых споров, осложненных иностранным элементом, которые возникают при осуществлении внешнеэкономической деятельности.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своей юридической природе Международный коммерческий арбитраж представляет собой третейский суд, избираемый или создаваемый самими сторонами. Спор рассматривается независимым арбитром, избранным сторонами на основе его профессиональных качеств в целях вынесения окончательного и обязательного для сторон решения.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Разбирательство в международном коммерческом арбитраже необходимо отличать от третейского разбирательства споров между государствами на основе норм международного публичного права специальными международными судебными органами, например, Международным Судом ООН, Постоянной палатой Третейского суда.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Негосударственная природа Международного коммерческого арбитража отличает его от государственных арбитражных судов, действующих в отдельных государствах, в частности, в Российской Федерации.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можно отметить следующие преимущества Международного коммерческого арбитража. Во-первых, процедура арбитражного разбирательства отличается простотой и минимальными затратами на ведение процесса. Во-вторых, рассмотрение споров происходит в закрытом заседании, что гарантирует сторонам соблюдение коммерческой тайны. В-третьих, стороны имеют право на свободный выбор арбитров, процедуры, применимого права, места и языка арбитражного разбирательства, могут полностью или частично определять арбитражную процедуру, а также изъять спор из сферы действия права и потребовать решить его на основе принципов справедливости и доброй совести (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aequo</w:t>
      </w:r>
      <w:proofErr w:type="spell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bono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). В-четвертых, арбитры не должны обязательно иметь юридическое образование, а избираются из числа квалифицированных специалистов в различных областях коммерческой деятельности. И, наконец, арбитражное решение носит окончательный и обязательный характер.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Международного коммерческого арбитража: институционный (постоянно действующий) и изолированный (арбитраж 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hoc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Институционный (или постоянно действующий) арбитраж создается при национальных торговых и торгово-промышленных палатах, ассоциациях, биржах и т.д. Данный арбитраж работает постоянно, имеет свой устав (или положение) и регламент, устанавливающий правила арбитражного процесса. При обращении в постоянно действующий арбитраж, стороны выбирают арбитров из установленного перечня.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Изолированный арбитраж (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6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hoc</w:t>
      </w: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образуется сторонами для рассмотрения конкретного спора, после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разбирательства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и вынесения решения он прекращает свое существование. Стороны самостоятельно выбирают место проведения арбитражного разбирательства, определяют правила избрания арбитров и устанавливают арбитражную процедуру.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процедура может быть основана на типовых арбитражных регламентах, разработанных под эгидой ООН, имеющих факультативный характер и применяющихся только в том случае, когда стороны сделали ссылку в своем соглашении (Арбитражный регламент Экономической комиссии ООН для Европы, Правила международного коммерческого арбитража Экономической комиссии ООН для Азии и Дальнего Востока, Арбитражный регламент ЮНСИТРАЛ).</w:t>
      </w:r>
      <w:proofErr w:type="gramEnd"/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Арбитражное соглашение – это письменное соглашение сторон о передаче в Международный коммерческий арбитраж уже возникшего спора или спора, который может возникнуть между ними в будущем.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арбитражных соглашений: 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арбитражная оговорка – это соглашение сторон договора, непосредственно включенное в его текст, об арбитражном разбирательстве споров, которые могут возникнуть из данного договора;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третейская запись – это отдельное от основного договора соглашение сторон об арбитражном разбирательстве уже возникшего спора;</w:t>
      </w:r>
    </w:p>
    <w:p w:rsidR="00433669" w:rsidRPr="00433669" w:rsidRDefault="00433669" w:rsidP="00433669">
      <w:pPr>
        <w:numPr>
          <w:ilvl w:val="0"/>
          <w:numId w:val="4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арбитражный договор – это самостоятельное соглашение между сторонами об арбитражном разбирательстве споров, которые могут возникнуть в будущем в связи с данным договором или группой договоров, или в связи с совместной деятельностью в целом.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Арбитражное соглашение является автономным и юридически самостоятельным, то есть недействительность договора не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за собой недействительность арбитражного соглашения в каком бы виде оно не было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 исполнение арбитражных решений, вынесенных на территории иностранного государства, основывается на нормах таких международных конвенций, как Нью-Йоркская  конвенция о признании и приведении в исполнение иностранных  арбитражных решений 1958 г., Европейская конвенция о внешнеторговом арбитраже 1961 г.,  Московская конвенция о разрешении арбитражным путем гражданско-правовых споров, вытекающих из отношений экономического и научно-технического сотрудничества 1972 г., Межамериканская конвенция о международном коммерческом арбитраже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1975 г., Арабская конвенция о международном коммерческом арбитраже 1987 г.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системы признания и принудительного исполнения арбитражных решений заложены в Нью-Йоркской конвенции 1958 г., согласно которой государства-участники признают и обязуются исполнять арбитражные решения независимо от того, на территории какого государства это решение принято. Исполнение иностранных арбитражных решений осуществляется в соответствии с процессуальным правом того государства, на территории которого испрашивается признание и приведение в исполнение таких решений. Признание арбитражных решений возможно только при наличии письменного арбитражного соглашения.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Нью-Йоркская конвенция 1958 г., участницей которой является Россия, действует только в отношении решений, принятых в рамках международного коммерческого арбитраж, то есть решений негосударственных судебных органов, к числу которых в России относятся Международный коммерческий арбитражный суд и Морская арбитражная комиссия при Торгово-промышленной палате Российской Федерации.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Конвенция закрепляет исчерпывающий перечень оснований для отказа в признании исполнении арбитражных решений, которые можно разделить на две группы.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первой группе относятся основания отказа по просьбе стороны, против которой вынесено решение (одна из сторон недееспособна по своему личному закону; арбитражное соглашение недействительно по закону, который выбрали стороны, либо по закону государства места вынесения решения; отсутствует надлежащее уведомление стороны о времени и месте арбитражного разбирательства; арбитраж вышел за пределы своей компетенции;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арбитражной процедуры).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второй группе относятся основания отказа со стороны компетентных органов государства места исполнения решения, в случаях, если объект спора не может быть предметом арбитражного разбирательства по закону государства, где испрашивается признание и исполнение, а также, если признание решения и приведение его в исполнение противоречат публичному порядку этого государства.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законодательстве Российской Федерации порядок признания и исполнения решений иностранных судов и арбитражей определяется Законом РФ «О Международном коммерческом арбитраже» 1993 г., ГПК РФ  и АПК РФ.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органами рассмотрения международных коммерческих споров в Российской Федерации являются Международный коммерческий арбитражный суд РФ (МКАС) и Морская арбитражная комиссия (МАК) при Торгово-промышленной палате.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Деятельность Международного коммерческого арбитражного суда регулируется Законом о МКА РФ 1993 г., Положением о МКАС при ТПП РФ, Регламентом МКАС РФ 1994 г.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МКАС </w:t>
      </w: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компетентен</w:t>
      </w:r>
      <w:proofErr w:type="gramEnd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рассматривать споры, возникающие при осуществлении международных экономических связей при условии, что коммерческое предприятие хотя бы одной из сторон находится за границей, а также между сторонами одной из которых является предприятие с иностранными инвестициями или международная организация, созданная на территории России. </w:t>
      </w:r>
    </w:p>
    <w:p w:rsidR="00433669" w:rsidRPr="00433669" w:rsidRDefault="00433669" w:rsidP="004336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Компетенция МАК имеет специальный характер и включает в себя споры, вытекающие из договорных и других гражданско-правовых отношений, связанных с торговым мореплаванием (споры, связанные с перевозкой грузов и фрахтованием судов и др.) независимо от того, являются сторонами таких отношений субъекты российского и иностранного либо только российского или только иностранного права. </w:t>
      </w:r>
      <w:proofErr w:type="gramEnd"/>
    </w:p>
    <w:p w:rsidR="00433669" w:rsidRPr="0013613D" w:rsidRDefault="00433669" w:rsidP="0013613D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</w:p>
    <w:sectPr w:rsidR="00433669" w:rsidRPr="0013613D" w:rsidSect="00F31A44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C70" w:rsidRDefault="003B1C70" w:rsidP="00F31A44">
      <w:pPr>
        <w:spacing w:after="0" w:line="240" w:lineRule="auto"/>
      </w:pPr>
      <w:r>
        <w:separator/>
      </w:r>
    </w:p>
  </w:endnote>
  <w:endnote w:type="continuationSeparator" w:id="0">
    <w:p w:rsidR="003B1C70" w:rsidRDefault="003B1C70" w:rsidP="00F31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8008"/>
      <w:docPartObj>
        <w:docPartGallery w:val="Page Numbers (Bottom of Page)"/>
        <w:docPartUnique/>
      </w:docPartObj>
    </w:sdtPr>
    <w:sdtEndPr/>
    <w:sdtContent>
      <w:p w:rsidR="00433669" w:rsidRDefault="0043366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7A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33669" w:rsidRDefault="004336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C70" w:rsidRDefault="003B1C70" w:rsidP="00F31A44">
      <w:pPr>
        <w:spacing w:after="0" w:line="240" w:lineRule="auto"/>
      </w:pPr>
      <w:r>
        <w:separator/>
      </w:r>
    </w:p>
  </w:footnote>
  <w:footnote w:type="continuationSeparator" w:id="0">
    <w:p w:rsidR="003B1C70" w:rsidRDefault="003B1C70" w:rsidP="00F31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372"/>
    <w:multiLevelType w:val="hybridMultilevel"/>
    <w:tmpl w:val="4E103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D1ED5"/>
    <w:multiLevelType w:val="hybridMultilevel"/>
    <w:tmpl w:val="9A34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43347"/>
    <w:multiLevelType w:val="hybridMultilevel"/>
    <w:tmpl w:val="BBFA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B32BB"/>
    <w:multiLevelType w:val="hybridMultilevel"/>
    <w:tmpl w:val="C91A8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52FCE"/>
    <w:multiLevelType w:val="hybridMultilevel"/>
    <w:tmpl w:val="72768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A31FF"/>
    <w:multiLevelType w:val="hybridMultilevel"/>
    <w:tmpl w:val="68948B46"/>
    <w:lvl w:ilvl="0" w:tplc="5A10A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057D6"/>
    <w:multiLevelType w:val="hybridMultilevel"/>
    <w:tmpl w:val="7DBE5DF0"/>
    <w:lvl w:ilvl="0" w:tplc="B83EA6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2D557B"/>
    <w:multiLevelType w:val="hybridMultilevel"/>
    <w:tmpl w:val="23442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505556"/>
    <w:multiLevelType w:val="hybridMultilevel"/>
    <w:tmpl w:val="28409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172250"/>
    <w:multiLevelType w:val="multilevel"/>
    <w:tmpl w:val="39BA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9F7990"/>
    <w:multiLevelType w:val="hybridMultilevel"/>
    <w:tmpl w:val="CF2E8DD8"/>
    <w:lvl w:ilvl="0" w:tplc="6E6A4D0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5503846"/>
    <w:multiLevelType w:val="hybridMultilevel"/>
    <w:tmpl w:val="1AFA57CA"/>
    <w:lvl w:ilvl="0" w:tplc="D3562BF8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210C9"/>
    <w:multiLevelType w:val="multilevel"/>
    <w:tmpl w:val="2872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F959D1"/>
    <w:multiLevelType w:val="hybridMultilevel"/>
    <w:tmpl w:val="CFE8B1B2"/>
    <w:lvl w:ilvl="0" w:tplc="6E6A4D0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22C6C16"/>
    <w:multiLevelType w:val="hybridMultilevel"/>
    <w:tmpl w:val="AB0EC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FD4D85"/>
    <w:multiLevelType w:val="hybridMultilevel"/>
    <w:tmpl w:val="74C41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B7BD7"/>
    <w:multiLevelType w:val="hybridMultilevel"/>
    <w:tmpl w:val="62584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937CF"/>
    <w:multiLevelType w:val="hybridMultilevel"/>
    <w:tmpl w:val="158AC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47E16"/>
    <w:multiLevelType w:val="hybridMultilevel"/>
    <w:tmpl w:val="EB64D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270350"/>
    <w:multiLevelType w:val="hybridMultilevel"/>
    <w:tmpl w:val="0E94ABFC"/>
    <w:lvl w:ilvl="0" w:tplc="CB7258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43361"/>
    <w:multiLevelType w:val="hybridMultilevel"/>
    <w:tmpl w:val="7F78A396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1">
    <w:nsid w:val="407A5D00"/>
    <w:multiLevelType w:val="hybridMultilevel"/>
    <w:tmpl w:val="1C205CD0"/>
    <w:lvl w:ilvl="0" w:tplc="5A10A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3754B0"/>
    <w:multiLevelType w:val="hybridMultilevel"/>
    <w:tmpl w:val="D3446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E4D8E"/>
    <w:multiLevelType w:val="hybridMultilevel"/>
    <w:tmpl w:val="2A486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435AD"/>
    <w:multiLevelType w:val="hybridMultilevel"/>
    <w:tmpl w:val="FEA22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47468A"/>
    <w:multiLevelType w:val="hybridMultilevel"/>
    <w:tmpl w:val="A88EBB50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D17C55"/>
    <w:multiLevelType w:val="hybridMultilevel"/>
    <w:tmpl w:val="2688A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9500B3"/>
    <w:multiLevelType w:val="hybridMultilevel"/>
    <w:tmpl w:val="0C58F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DB3E37"/>
    <w:multiLevelType w:val="hybridMultilevel"/>
    <w:tmpl w:val="E998267E"/>
    <w:lvl w:ilvl="0" w:tplc="C0E80FEA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4063B71"/>
    <w:multiLevelType w:val="hybridMultilevel"/>
    <w:tmpl w:val="5EAA1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6254D"/>
    <w:multiLevelType w:val="hybridMultilevel"/>
    <w:tmpl w:val="8744D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C82BE6"/>
    <w:multiLevelType w:val="hybridMultilevel"/>
    <w:tmpl w:val="82661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EC06F6"/>
    <w:multiLevelType w:val="hybridMultilevel"/>
    <w:tmpl w:val="79240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6E0466"/>
    <w:multiLevelType w:val="hybridMultilevel"/>
    <w:tmpl w:val="F3A6E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FA7212"/>
    <w:multiLevelType w:val="hybridMultilevel"/>
    <w:tmpl w:val="D7AC676A"/>
    <w:lvl w:ilvl="0" w:tplc="5A10A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4E5344"/>
    <w:multiLevelType w:val="multilevel"/>
    <w:tmpl w:val="40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8E7252"/>
    <w:multiLevelType w:val="singleLevel"/>
    <w:tmpl w:val="FC12FE24"/>
    <w:lvl w:ilvl="0">
      <w:numFmt w:val="bullet"/>
      <w:lvlText w:val="-"/>
      <w:lvlJc w:val="left"/>
      <w:pPr>
        <w:tabs>
          <w:tab w:val="num" w:pos="1376"/>
        </w:tabs>
        <w:ind w:left="1376" w:hanging="525"/>
      </w:pPr>
      <w:rPr>
        <w:rFonts w:hint="default"/>
      </w:rPr>
    </w:lvl>
  </w:abstractNum>
  <w:abstractNum w:abstractNumId="37">
    <w:nsid w:val="67A26C4C"/>
    <w:multiLevelType w:val="hybridMultilevel"/>
    <w:tmpl w:val="F0800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7B7B43"/>
    <w:multiLevelType w:val="hybridMultilevel"/>
    <w:tmpl w:val="778EE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60646D"/>
    <w:multiLevelType w:val="hybridMultilevel"/>
    <w:tmpl w:val="08AAD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011D3F"/>
    <w:multiLevelType w:val="hybridMultilevel"/>
    <w:tmpl w:val="59E4E44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1">
    <w:nsid w:val="6F8923FC"/>
    <w:multiLevelType w:val="hybridMultilevel"/>
    <w:tmpl w:val="59940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3A7B4B"/>
    <w:multiLevelType w:val="hybridMultilevel"/>
    <w:tmpl w:val="58C2A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B5710E"/>
    <w:multiLevelType w:val="hybridMultilevel"/>
    <w:tmpl w:val="45E83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E45D6"/>
    <w:multiLevelType w:val="hybridMultilevel"/>
    <w:tmpl w:val="BAD04FDE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166538"/>
    <w:multiLevelType w:val="hybridMultilevel"/>
    <w:tmpl w:val="73888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FE6F35"/>
    <w:multiLevelType w:val="hybridMultilevel"/>
    <w:tmpl w:val="F1FCF5C6"/>
    <w:lvl w:ilvl="0" w:tplc="CB7258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22C8C3FA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14188"/>
    <w:multiLevelType w:val="hybridMultilevel"/>
    <w:tmpl w:val="A4BE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3"/>
  </w:num>
  <w:num w:numId="4">
    <w:abstractNumId w:val="0"/>
  </w:num>
  <w:num w:numId="5">
    <w:abstractNumId w:val="18"/>
  </w:num>
  <w:num w:numId="6">
    <w:abstractNumId w:val="4"/>
  </w:num>
  <w:num w:numId="7">
    <w:abstractNumId w:val="3"/>
  </w:num>
  <w:num w:numId="8">
    <w:abstractNumId w:val="20"/>
  </w:num>
  <w:num w:numId="9">
    <w:abstractNumId w:val="24"/>
  </w:num>
  <w:num w:numId="10">
    <w:abstractNumId w:val="37"/>
  </w:num>
  <w:num w:numId="11">
    <w:abstractNumId w:val="12"/>
  </w:num>
  <w:num w:numId="12">
    <w:abstractNumId w:val="47"/>
  </w:num>
  <w:num w:numId="13">
    <w:abstractNumId w:val="31"/>
  </w:num>
  <w:num w:numId="14">
    <w:abstractNumId w:val="27"/>
  </w:num>
  <w:num w:numId="15">
    <w:abstractNumId w:val="30"/>
  </w:num>
  <w:num w:numId="16">
    <w:abstractNumId w:val="22"/>
  </w:num>
  <w:num w:numId="17">
    <w:abstractNumId w:val="15"/>
  </w:num>
  <w:num w:numId="18">
    <w:abstractNumId w:val="42"/>
  </w:num>
  <w:num w:numId="19">
    <w:abstractNumId w:val="14"/>
  </w:num>
  <w:num w:numId="20">
    <w:abstractNumId w:val="6"/>
  </w:num>
  <w:num w:numId="21">
    <w:abstractNumId w:val="38"/>
  </w:num>
  <w:num w:numId="22">
    <w:abstractNumId w:val="41"/>
  </w:num>
  <w:num w:numId="23">
    <w:abstractNumId w:val="2"/>
  </w:num>
  <w:num w:numId="24">
    <w:abstractNumId w:val="43"/>
  </w:num>
  <w:num w:numId="25">
    <w:abstractNumId w:val="23"/>
  </w:num>
  <w:num w:numId="26">
    <w:abstractNumId w:val="26"/>
  </w:num>
  <w:num w:numId="27">
    <w:abstractNumId w:val="45"/>
  </w:num>
  <w:num w:numId="28">
    <w:abstractNumId w:val="32"/>
  </w:num>
  <w:num w:numId="29">
    <w:abstractNumId w:val="1"/>
  </w:num>
  <w:num w:numId="30">
    <w:abstractNumId w:val="16"/>
  </w:num>
  <w:num w:numId="31">
    <w:abstractNumId w:val="44"/>
  </w:num>
  <w:num w:numId="32">
    <w:abstractNumId w:val="25"/>
  </w:num>
  <w:num w:numId="33">
    <w:abstractNumId w:val="29"/>
  </w:num>
  <w:num w:numId="34">
    <w:abstractNumId w:val="17"/>
  </w:num>
  <w:num w:numId="35">
    <w:abstractNumId w:val="21"/>
  </w:num>
  <w:num w:numId="36">
    <w:abstractNumId w:val="34"/>
  </w:num>
  <w:num w:numId="37">
    <w:abstractNumId w:val="5"/>
  </w:num>
  <w:num w:numId="38">
    <w:abstractNumId w:val="19"/>
  </w:num>
  <w:num w:numId="39">
    <w:abstractNumId w:val="8"/>
  </w:num>
  <w:num w:numId="40">
    <w:abstractNumId w:val="36"/>
  </w:num>
  <w:num w:numId="41">
    <w:abstractNumId w:val="28"/>
  </w:num>
  <w:num w:numId="42">
    <w:abstractNumId w:val="13"/>
  </w:num>
  <w:num w:numId="43">
    <w:abstractNumId w:val="11"/>
  </w:num>
  <w:num w:numId="44">
    <w:abstractNumId w:val="40"/>
  </w:num>
  <w:num w:numId="45">
    <w:abstractNumId w:val="10"/>
  </w:num>
  <w:num w:numId="46">
    <w:abstractNumId w:val="46"/>
  </w:num>
  <w:num w:numId="47">
    <w:abstractNumId w:val="9"/>
  </w:num>
  <w:num w:numId="48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6B"/>
    <w:rsid w:val="000223A7"/>
    <w:rsid w:val="00054652"/>
    <w:rsid w:val="00077D19"/>
    <w:rsid w:val="00094E62"/>
    <w:rsid w:val="00096DA7"/>
    <w:rsid w:val="000A0618"/>
    <w:rsid w:val="000D6A95"/>
    <w:rsid w:val="000F1FED"/>
    <w:rsid w:val="000F5CB4"/>
    <w:rsid w:val="00102B8A"/>
    <w:rsid w:val="0013613D"/>
    <w:rsid w:val="00152CD8"/>
    <w:rsid w:val="00163333"/>
    <w:rsid w:val="001858C6"/>
    <w:rsid w:val="00194229"/>
    <w:rsid w:val="001B796F"/>
    <w:rsid w:val="001C4D74"/>
    <w:rsid w:val="001C733F"/>
    <w:rsid w:val="001E0047"/>
    <w:rsid w:val="001F3F81"/>
    <w:rsid w:val="001F7329"/>
    <w:rsid w:val="00256A2A"/>
    <w:rsid w:val="0027053C"/>
    <w:rsid w:val="00272C9A"/>
    <w:rsid w:val="0029423A"/>
    <w:rsid w:val="00297F06"/>
    <w:rsid w:val="002A62C4"/>
    <w:rsid w:val="002C33E7"/>
    <w:rsid w:val="002D560D"/>
    <w:rsid w:val="002F36E0"/>
    <w:rsid w:val="00306E5E"/>
    <w:rsid w:val="003071C2"/>
    <w:rsid w:val="003320D9"/>
    <w:rsid w:val="003406F6"/>
    <w:rsid w:val="00355DB8"/>
    <w:rsid w:val="00357E5C"/>
    <w:rsid w:val="00370DE5"/>
    <w:rsid w:val="00372FB4"/>
    <w:rsid w:val="00374D91"/>
    <w:rsid w:val="00375FFA"/>
    <w:rsid w:val="0038777D"/>
    <w:rsid w:val="00397384"/>
    <w:rsid w:val="003B1C70"/>
    <w:rsid w:val="003C59EF"/>
    <w:rsid w:val="003D06A5"/>
    <w:rsid w:val="003D1F75"/>
    <w:rsid w:val="003E71C4"/>
    <w:rsid w:val="003F201F"/>
    <w:rsid w:val="003F2C1F"/>
    <w:rsid w:val="003F7EDA"/>
    <w:rsid w:val="004132EB"/>
    <w:rsid w:val="004135D4"/>
    <w:rsid w:val="004221DB"/>
    <w:rsid w:val="00433669"/>
    <w:rsid w:val="00464CC7"/>
    <w:rsid w:val="00474338"/>
    <w:rsid w:val="00491ED1"/>
    <w:rsid w:val="004920E1"/>
    <w:rsid w:val="004A5184"/>
    <w:rsid w:val="004C0455"/>
    <w:rsid w:val="004C3D68"/>
    <w:rsid w:val="004F61E5"/>
    <w:rsid w:val="00557E7B"/>
    <w:rsid w:val="0058440D"/>
    <w:rsid w:val="00586AC9"/>
    <w:rsid w:val="005A1A53"/>
    <w:rsid w:val="005A2402"/>
    <w:rsid w:val="005D7AA4"/>
    <w:rsid w:val="005E2E0F"/>
    <w:rsid w:val="005E75AC"/>
    <w:rsid w:val="005F1DB1"/>
    <w:rsid w:val="005F775A"/>
    <w:rsid w:val="006403ED"/>
    <w:rsid w:val="00676771"/>
    <w:rsid w:val="00680C5A"/>
    <w:rsid w:val="00694208"/>
    <w:rsid w:val="006D7B78"/>
    <w:rsid w:val="006E474B"/>
    <w:rsid w:val="006F1358"/>
    <w:rsid w:val="006F6CA8"/>
    <w:rsid w:val="00701014"/>
    <w:rsid w:val="007679B2"/>
    <w:rsid w:val="00767C16"/>
    <w:rsid w:val="0078041D"/>
    <w:rsid w:val="00784F5F"/>
    <w:rsid w:val="007B3F05"/>
    <w:rsid w:val="007B6989"/>
    <w:rsid w:val="007C1242"/>
    <w:rsid w:val="007C3290"/>
    <w:rsid w:val="007E3F1A"/>
    <w:rsid w:val="007F41E6"/>
    <w:rsid w:val="0080020C"/>
    <w:rsid w:val="00803499"/>
    <w:rsid w:val="00817C2B"/>
    <w:rsid w:val="0082542B"/>
    <w:rsid w:val="0086633F"/>
    <w:rsid w:val="00867114"/>
    <w:rsid w:val="00883B6B"/>
    <w:rsid w:val="008A6AF2"/>
    <w:rsid w:val="008B0CB2"/>
    <w:rsid w:val="008B3754"/>
    <w:rsid w:val="008C0722"/>
    <w:rsid w:val="008D7233"/>
    <w:rsid w:val="008E621B"/>
    <w:rsid w:val="008F2425"/>
    <w:rsid w:val="00912596"/>
    <w:rsid w:val="00932FB5"/>
    <w:rsid w:val="00956C6F"/>
    <w:rsid w:val="009618FF"/>
    <w:rsid w:val="009B6272"/>
    <w:rsid w:val="009D3B8F"/>
    <w:rsid w:val="009D48F0"/>
    <w:rsid w:val="009E5F33"/>
    <w:rsid w:val="009F7889"/>
    <w:rsid w:val="00A031B0"/>
    <w:rsid w:val="00A0762D"/>
    <w:rsid w:val="00A153C7"/>
    <w:rsid w:val="00A16096"/>
    <w:rsid w:val="00A3726A"/>
    <w:rsid w:val="00A44E25"/>
    <w:rsid w:val="00A67D98"/>
    <w:rsid w:val="00A91716"/>
    <w:rsid w:val="00AA091D"/>
    <w:rsid w:val="00AA5D5D"/>
    <w:rsid w:val="00AC06EE"/>
    <w:rsid w:val="00AF402F"/>
    <w:rsid w:val="00B11975"/>
    <w:rsid w:val="00B124DA"/>
    <w:rsid w:val="00B35834"/>
    <w:rsid w:val="00B42151"/>
    <w:rsid w:val="00B43002"/>
    <w:rsid w:val="00B81BC4"/>
    <w:rsid w:val="00BB0D52"/>
    <w:rsid w:val="00BD0887"/>
    <w:rsid w:val="00BE1FEC"/>
    <w:rsid w:val="00BE3FAA"/>
    <w:rsid w:val="00C03A18"/>
    <w:rsid w:val="00C16F5D"/>
    <w:rsid w:val="00C373C8"/>
    <w:rsid w:val="00C80FC9"/>
    <w:rsid w:val="00CA4D77"/>
    <w:rsid w:val="00CF59AC"/>
    <w:rsid w:val="00CF7C08"/>
    <w:rsid w:val="00D042F7"/>
    <w:rsid w:val="00D04365"/>
    <w:rsid w:val="00D04386"/>
    <w:rsid w:val="00D17AA3"/>
    <w:rsid w:val="00D2701E"/>
    <w:rsid w:val="00D3561B"/>
    <w:rsid w:val="00D73ECB"/>
    <w:rsid w:val="00D77758"/>
    <w:rsid w:val="00D81B43"/>
    <w:rsid w:val="00D93049"/>
    <w:rsid w:val="00D96445"/>
    <w:rsid w:val="00D9765B"/>
    <w:rsid w:val="00DA1BEB"/>
    <w:rsid w:val="00DC7A5D"/>
    <w:rsid w:val="00E1133D"/>
    <w:rsid w:val="00E12D84"/>
    <w:rsid w:val="00E25EDB"/>
    <w:rsid w:val="00E35538"/>
    <w:rsid w:val="00E42211"/>
    <w:rsid w:val="00E422F7"/>
    <w:rsid w:val="00E610F6"/>
    <w:rsid w:val="00E7410E"/>
    <w:rsid w:val="00E80F42"/>
    <w:rsid w:val="00E904CC"/>
    <w:rsid w:val="00F31A44"/>
    <w:rsid w:val="00F52839"/>
    <w:rsid w:val="00F83FBB"/>
    <w:rsid w:val="00FA30F6"/>
    <w:rsid w:val="00FA6148"/>
    <w:rsid w:val="00FA67D7"/>
    <w:rsid w:val="00FB46B7"/>
    <w:rsid w:val="00FB7E93"/>
    <w:rsid w:val="00FC0D67"/>
    <w:rsid w:val="00FF6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65"/>
  </w:style>
  <w:style w:type="paragraph" w:styleId="1">
    <w:name w:val="heading 1"/>
    <w:basedOn w:val="a"/>
    <w:next w:val="a"/>
    <w:link w:val="10"/>
    <w:uiPriority w:val="9"/>
    <w:qFormat/>
    <w:rsid w:val="00A372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30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2F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883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83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35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5538"/>
  </w:style>
  <w:style w:type="character" w:styleId="a5">
    <w:name w:val="Hyperlink"/>
    <w:basedOn w:val="a0"/>
    <w:uiPriority w:val="99"/>
    <w:unhideWhenUsed/>
    <w:rsid w:val="00E355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3583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31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31A44"/>
  </w:style>
  <w:style w:type="paragraph" w:styleId="a9">
    <w:name w:val="footer"/>
    <w:basedOn w:val="a"/>
    <w:link w:val="aa"/>
    <w:uiPriority w:val="99"/>
    <w:unhideWhenUsed/>
    <w:rsid w:val="00F31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1A44"/>
  </w:style>
  <w:style w:type="character" w:customStyle="1" w:styleId="30">
    <w:name w:val="Заголовок 3 Знак"/>
    <w:basedOn w:val="a0"/>
    <w:link w:val="3"/>
    <w:uiPriority w:val="9"/>
    <w:rsid w:val="00372F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b">
    <w:name w:val="Strong"/>
    <w:basedOn w:val="a0"/>
    <w:uiPriority w:val="22"/>
    <w:qFormat/>
    <w:rsid w:val="00372FB4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930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basedOn w:val="a"/>
    <w:rsid w:val="005F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72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67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7D98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semiHidden/>
    <w:rsid w:val="0013613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1361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355DB8"/>
    <w:pPr>
      <w:spacing w:before="240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7410E"/>
    <w:pPr>
      <w:tabs>
        <w:tab w:val="right" w:leader="dot" w:pos="9345"/>
      </w:tabs>
      <w:spacing w:after="10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65"/>
  </w:style>
  <w:style w:type="paragraph" w:styleId="1">
    <w:name w:val="heading 1"/>
    <w:basedOn w:val="a"/>
    <w:next w:val="a"/>
    <w:link w:val="10"/>
    <w:uiPriority w:val="9"/>
    <w:qFormat/>
    <w:rsid w:val="00A372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30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2F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883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83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35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5538"/>
  </w:style>
  <w:style w:type="character" w:styleId="a5">
    <w:name w:val="Hyperlink"/>
    <w:basedOn w:val="a0"/>
    <w:uiPriority w:val="99"/>
    <w:unhideWhenUsed/>
    <w:rsid w:val="00E355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3583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31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31A44"/>
  </w:style>
  <w:style w:type="paragraph" w:styleId="a9">
    <w:name w:val="footer"/>
    <w:basedOn w:val="a"/>
    <w:link w:val="aa"/>
    <w:uiPriority w:val="99"/>
    <w:unhideWhenUsed/>
    <w:rsid w:val="00F31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1A44"/>
  </w:style>
  <w:style w:type="character" w:customStyle="1" w:styleId="30">
    <w:name w:val="Заголовок 3 Знак"/>
    <w:basedOn w:val="a0"/>
    <w:link w:val="3"/>
    <w:uiPriority w:val="9"/>
    <w:rsid w:val="00372F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b">
    <w:name w:val="Strong"/>
    <w:basedOn w:val="a0"/>
    <w:uiPriority w:val="22"/>
    <w:qFormat/>
    <w:rsid w:val="00372FB4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930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basedOn w:val="a"/>
    <w:rsid w:val="005F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72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67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7D98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semiHidden/>
    <w:rsid w:val="0013613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1361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355DB8"/>
    <w:pPr>
      <w:spacing w:before="240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7410E"/>
    <w:pPr>
      <w:tabs>
        <w:tab w:val="right" w:leader="dot" w:pos="9345"/>
      </w:tabs>
      <w:spacing w:after="10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1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0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0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67647-1A3E-4CAC-A5C3-D7A77A4C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21</Pages>
  <Words>9552</Words>
  <Characters>54450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1</cp:lastModifiedBy>
  <cp:revision>11</cp:revision>
  <dcterms:created xsi:type="dcterms:W3CDTF">2017-09-16T10:23:00Z</dcterms:created>
  <dcterms:modified xsi:type="dcterms:W3CDTF">2024-07-30T19:34:00Z</dcterms:modified>
</cp:coreProperties>
</file>